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353BB7" w14:textId="77777777" w:rsidR="00BE73A3" w:rsidRDefault="00BE73A3" w:rsidP="00BE73A3">
      <w:pPr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КОПІЯ</w:t>
      </w:r>
    </w:p>
    <w:p w14:paraId="27BBC6CD" w14:textId="77777777" w:rsidR="00201C15" w:rsidRPr="003B1460" w:rsidRDefault="00201C15" w:rsidP="00C16891">
      <w:pPr>
        <w:spacing w:line="240" w:lineRule="auto"/>
        <w:jc w:val="right"/>
        <w:rPr>
          <w:color w:val="000000" w:themeColor="text1"/>
          <w:sz w:val="28"/>
          <w:szCs w:val="28"/>
        </w:rPr>
      </w:pPr>
    </w:p>
    <w:p w14:paraId="69C661BD" w14:textId="11F65308" w:rsidR="00201C15" w:rsidRPr="003B1460" w:rsidRDefault="00201C15" w:rsidP="00C16891">
      <w:pPr>
        <w:spacing w:line="240" w:lineRule="auto"/>
        <w:jc w:val="right"/>
        <w:rPr>
          <w:color w:val="000000" w:themeColor="text1"/>
          <w:sz w:val="28"/>
          <w:szCs w:val="28"/>
        </w:rPr>
      </w:pPr>
      <w:r w:rsidRPr="003B1460">
        <w:rPr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7708CD60" wp14:editId="65D75C21">
            <wp:simplePos x="0" y="0"/>
            <wp:positionH relativeFrom="column">
              <wp:posOffset>2546350</wp:posOffset>
            </wp:positionH>
            <wp:positionV relativeFrom="paragraph">
              <wp:posOffset>9525</wp:posOffset>
            </wp:positionV>
            <wp:extent cx="1038225" cy="660400"/>
            <wp:effectExtent l="0" t="0" r="9525" b="6350"/>
            <wp:wrapTight wrapText="left">
              <wp:wrapPolygon edited="0">
                <wp:start x="0" y="0"/>
                <wp:lineTo x="0" y="21185"/>
                <wp:lineTo x="21402" y="21185"/>
                <wp:lineTo x="21402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60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60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A0837F" w14:textId="77777777" w:rsidR="00201C15" w:rsidRPr="003B1460" w:rsidRDefault="00201C15" w:rsidP="00C16891">
      <w:pPr>
        <w:spacing w:line="240" w:lineRule="auto"/>
        <w:jc w:val="center"/>
        <w:rPr>
          <w:color w:val="000000" w:themeColor="text1"/>
          <w:sz w:val="28"/>
          <w:szCs w:val="28"/>
        </w:rPr>
      </w:pPr>
      <w:r w:rsidRPr="003B1460">
        <w:rPr>
          <w:color w:val="000000" w:themeColor="text1"/>
          <w:sz w:val="28"/>
          <w:szCs w:val="28"/>
        </w:rPr>
        <w:br w:type="textWrapping" w:clear="all"/>
      </w:r>
    </w:p>
    <w:p w14:paraId="7AE1984B" w14:textId="77777777" w:rsidR="00201C15" w:rsidRPr="003B1460" w:rsidRDefault="00201C15" w:rsidP="00C16891">
      <w:pPr>
        <w:spacing w:line="240" w:lineRule="auto"/>
        <w:jc w:val="center"/>
        <w:rPr>
          <w:color w:val="000000" w:themeColor="text1"/>
          <w:sz w:val="28"/>
          <w:szCs w:val="28"/>
        </w:rPr>
      </w:pPr>
      <w:r w:rsidRPr="003B1460">
        <w:rPr>
          <w:color w:val="000000" w:themeColor="text1"/>
          <w:sz w:val="28"/>
          <w:szCs w:val="28"/>
        </w:rPr>
        <w:t xml:space="preserve">У К Р А Ї Н А </w:t>
      </w:r>
    </w:p>
    <w:p w14:paraId="3B9C6A82" w14:textId="77777777" w:rsidR="00201C15" w:rsidRPr="003B1460" w:rsidRDefault="00201C15" w:rsidP="00C16891">
      <w:pPr>
        <w:spacing w:line="240" w:lineRule="auto"/>
        <w:jc w:val="center"/>
        <w:rPr>
          <w:color w:val="000000" w:themeColor="text1"/>
          <w:sz w:val="28"/>
          <w:szCs w:val="28"/>
        </w:rPr>
      </w:pPr>
      <w:r w:rsidRPr="003B1460">
        <w:rPr>
          <w:color w:val="000000" w:themeColor="text1"/>
          <w:sz w:val="28"/>
          <w:szCs w:val="28"/>
        </w:rPr>
        <w:t xml:space="preserve">Р А Х І В С Ь К А  М І С Ь К А  Р А Д А </w:t>
      </w:r>
    </w:p>
    <w:p w14:paraId="7AAEE167" w14:textId="77777777" w:rsidR="00201C15" w:rsidRPr="003B1460" w:rsidRDefault="00201C15" w:rsidP="00C16891">
      <w:pPr>
        <w:spacing w:line="240" w:lineRule="auto"/>
        <w:jc w:val="center"/>
        <w:rPr>
          <w:color w:val="000000" w:themeColor="text1"/>
          <w:sz w:val="28"/>
          <w:szCs w:val="28"/>
        </w:rPr>
      </w:pPr>
      <w:r w:rsidRPr="003B1460">
        <w:rPr>
          <w:color w:val="000000" w:themeColor="text1"/>
          <w:sz w:val="28"/>
          <w:szCs w:val="28"/>
        </w:rPr>
        <w:t xml:space="preserve">Р А Х І В С Ь К О Г О  Р А Й О Н У  </w:t>
      </w:r>
    </w:p>
    <w:p w14:paraId="220A2701" w14:textId="77777777" w:rsidR="00201C15" w:rsidRPr="003B1460" w:rsidRDefault="00201C15" w:rsidP="00C16891">
      <w:pPr>
        <w:spacing w:line="240" w:lineRule="auto"/>
        <w:jc w:val="center"/>
        <w:rPr>
          <w:color w:val="000000" w:themeColor="text1"/>
          <w:sz w:val="28"/>
          <w:szCs w:val="28"/>
        </w:rPr>
      </w:pPr>
      <w:r w:rsidRPr="003B1460">
        <w:rPr>
          <w:color w:val="000000" w:themeColor="text1"/>
          <w:sz w:val="28"/>
          <w:szCs w:val="28"/>
        </w:rPr>
        <w:t>З А К А Р П А Т С Ь К О Ї  О Б Л А С Т І</w:t>
      </w:r>
    </w:p>
    <w:p w14:paraId="7A870B21" w14:textId="77777777" w:rsidR="00201C15" w:rsidRPr="003B1460" w:rsidRDefault="00201C15" w:rsidP="00C16891">
      <w:pPr>
        <w:spacing w:line="240" w:lineRule="auto"/>
        <w:jc w:val="center"/>
        <w:rPr>
          <w:b/>
          <w:color w:val="000000" w:themeColor="text1"/>
          <w:sz w:val="28"/>
          <w:szCs w:val="28"/>
        </w:rPr>
      </w:pPr>
      <w:r w:rsidRPr="003B1460">
        <w:rPr>
          <w:b/>
          <w:color w:val="000000" w:themeColor="text1"/>
          <w:sz w:val="28"/>
          <w:szCs w:val="28"/>
        </w:rPr>
        <w:t xml:space="preserve"> 80 сесія восьмого скликання</w:t>
      </w:r>
    </w:p>
    <w:p w14:paraId="29C2F2EA" w14:textId="77777777" w:rsidR="00201C15" w:rsidRPr="003B1460" w:rsidRDefault="00201C15" w:rsidP="00C16891">
      <w:pPr>
        <w:spacing w:line="240" w:lineRule="auto"/>
        <w:rPr>
          <w:color w:val="000000" w:themeColor="text1"/>
          <w:sz w:val="28"/>
          <w:szCs w:val="28"/>
        </w:rPr>
      </w:pPr>
    </w:p>
    <w:p w14:paraId="36EDD3A6" w14:textId="77777777" w:rsidR="00201C15" w:rsidRPr="003B1460" w:rsidRDefault="00201C15" w:rsidP="00C16891">
      <w:pPr>
        <w:spacing w:line="240" w:lineRule="auto"/>
        <w:jc w:val="center"/>
        <w:rPr>
          <w:color w:val="000000" w:themeColor="text1"/>
          <w:sz w:val="28"/>
          <w:szCs w:val="28"/>
        </w:rPr>
      </w:pPr>
      <w:r w:rsidRPr="003B1460">
        <w:rPr>
          <w:color w:val="000000" w:themeColor="text1"/>
          <w:sz w:val="28"/>
          <w:szCs w:val="28"/>
        </w:rPr>
        <w:t xml:space="preserve">Р І Ш Е Н </w:t>
      </w:r>
      <w:proofErr w:type="spellStart"/>
      <w:r w:rsidRPr="003B1460">
        <w:rPr>
          <w:color w:val="000000" w:themeColor="text1"/>
          <w:sz w:val="28"/>
          <w:szCs w:val="28"/>
        </w:rPr>
        <w:t>Н</w:t>
      </w:r>
      <w:proofErr w:type="spellEnd"/>
      <w:r w:rsidRPr="003B1460">
        <w:rPr>
          <w:color w:val="000000" w:themeColor="text1"/>
          <w:sz w:val="28"/>
          <w:szCs w:val="28"/>
        </w:rPr>
        <w:t xml:space="preserve"> Я</w:t>
      </w:r>
    </w:p>
    <w:p w14:paraId="5CDD5C92" w14:textId="77777777" w:rsidR="00201C15" w:rsidRPr="003B1460" w:rsidRDefault="00201C15" w:rsidP="00C16891">
      <w:pPr>
        <w:spacing w:line="240" w:lineRule="auto"/>
        <w:rPr>
          <w:color w:val="000000" w:themeColor="text1"/>
          <w:sz w:val="28"/>
          <w:szCs w:val="28"/>
        </w:rPr>
      </w:pPr>
    </w:p>
    <w:p w14:paraId="33354201" w14:textId="31DC02BE" w:rsidR="00201C15" w:rsidRPr="003B1460" w:rsidRDefault="00201C15" w:rsidP="00C16891">
      <w:pPr>
        <w:spacing w:line="240" w:lineRule="auto"/>
        <w:rPr>
          <w:color w:val="000000" w:themeColor="text1"/>
          <w:sz w:val="28"/>
          <w:szCs w:val="28"/>
        </w:rPr>
      </w:pPr>
      <w:r w:rsidRPr="003B1460">
        <w:rPr>
          <w:color w:val="000000" w:themeColor="text1"/>
          <w:sz w:val="28"/>
          <w:szCs w:val="28"/>
        </w:rPr>
        <w:t xml:space="preserve">від 24 грудня 2025  року  </w:t>
      </w:r>
      <w:r w:rsidRPr="003B1460">
        <w:rPr>
          <w:color w:val="000000" w:themeColor="text1"/>
          <w:sz w:val="28"/>
          <w:szCs w:val="28"/>
        </w:rPr>
        <w:tab/>
      </w:r>
      <w:r w:rsidRPr="003B1460">
        <w:rPr>
          <w:color w:val="000000" w:themeColor="text1"/>
          <w:sz w:val="28"/>
          <w:szCs w:val="28"/>
        </w:rPr>
        <w:tab/>
      </w:r>
      <w:r w:rsidRPr="003B1460">
        <w:rPr>
          <w:color w:val="000000" w:themeColor="text1"/>
          <w:sz w:val="28"/>
          <w:szCs w:val="28"/>
        </w:rPr>
        <w:tab/>
      </w:r>
      <w:r w:rsidRPr="003B1460">
        <w:rPr>
          <w:color w:val="000000" w:themeColor="text1"/>
          <w:sz w:val="28"/>
          <w:szCs w:val="28"/>
        </w:rPr>
        <w:tab/>
      </w:r>
      <w:r w:rsidRPr="003B1460">
        <w:rPr>
          <w:color w:val="000000" w:themeColor="text1"/>
          <w:sz w:val="28"/>
          <w:szCs w:val="28"/>
        </w:rPr>
        <w:tab/>
      </w:r>
      <w:r w:rsidRPr="003B1460">
        <w:rPr>
          <w:color w:val="000000" w:themeColor="text1"/>
          <w:sz w:val="28"/>
          <w:szCs w:val="28"/>
        </w:rPr>
        <w:tab/>
      </w:r>
      <w:r w:rsidRPr="003B1460">
        <w:rPr>
          <w:color w:val="000000" w:themeColor="text1"/>
          <w:sz w:val="28"/>
          <w:szCs w:val="28"/>
        </w:rPr>
        <w:tab/>
      </w:r>
      <w:r w:rsidRPr="003B1460">
        <w:rPr>
          <w:color w:val="000000" w:themeColor="text1"/>
          <w:sz w:val="28"/>
          <w:szCs w:val="28"/>
        </w:rPr>
        <w:tab/>
        <w:t>№1225</w:t>
      </w:r>
    </w:p>
    <w:p w14:paraId="1D31E899" w14:textId="77777777" w:rsidR="00201C15" w:rsidRPr="003B1460" w:rsidRDefault="00201C15" w:rsidP="00C16891">
      <w:pPr>
        <w:spacing w:line="240" w:lineRule="auto"/>
        <w:rPr>
          <w:color w:val="000000" w:themeColor="text1"/>
          <w:sz w:val="28"/>
          <w:szCs w:val="28"/>
        </w:rPr>
      </w:pPr>
      <w:r w:rsidRPr="003B1460">
        <w:rPr>
          <w:color w:val="000000" w:themeColor="text1"/>
          <w:sz w:val="28"/>
          <w:szCs w:val="28"/>
        </w:rPr>
        <w:t>м. Рахів</w:t>
      </w:r>
    </w:p>
    <w:p w14:paraId="1EB4ECF5" w14:textId="77777777" w:rsidR="00201C15" w:rsidRPr="003B1460" w:rsidRDefault="00201C15" w:rsidP="00C16891">
      <w:pPr>
        <w:spacing w:line="240" w:lineRule="auto"/>
        <w:rPr>
          <w:color w:val="000000" w:themeColor="text1"/>
          <w:sz w:val="28"/>
          <w:szCs w:val="28"/>
          <w:lang w:eastAsia="en-US"/>
        </w:rPr>
      </w:pPr>
    </w:p>
    <w:p w14:paraId="423CF799" w14:textId="4C92212F" w:rsidR="005A4A4E" w:rsidRPr="003B1460" w:rsidRDefault="005A4A4E" w:rsidP="00C16891">
      <w:pPr>
        <w:spacing w:line="240" w:lineRule="auto"/>
        <w:rPr>
          <w:sz w:val="28"/>
        </w:rPr>
      </w:pPr>
      <w:r w:rsidRPr="003B1460">
        <w:rPr>
          <w:color w:val="000000" w:themeColor="text1"/>
          <w:sz w:val="28"/>
          <w:szCs w:val="28"/>
        </w:rPr>
        <w:t xml:space="preserve">Про </w:t>
      </w:r>
      <w:r w:rsidRPr="003B1460">
        <w:rPr>
          <w:sz w:val="28"/>
          <w:szCs w:val="28"/>
        </w:rPr>
        <w:t xml:space="preserve">затвердження </w:t>
      </w:r>
      <w:r w:rsidRPr="003B1460">
        <w:rPr>
          <w:sz w:val="28"/>
        </w:rPr>
        <w:t>Програм</w:t>
      </w:r>
      <w:r w:rsidR="00212B94" w:rsidRPr="003B1460">
        <w:rPr>
          <w:sz w:val="28"/>
        </w:rPr>
        <w:t>и</w:t>
      </w:r>
      <w:r w:rsidRPr="003B1460">
        <w:rPr>
          <w:sz w:val="28"/>
        </w:rPr>
        <w:t xml:space="preserve"> забезпечення жителів територіальної </w:t>
      </w:r>
    </w:p>
    <w:p w14:paraId="1232EE2E" w14:textId="77777777" w:rsidR="005A4A4E" w:rsidRPr="003B1460" w:rsidRDefault="005A4A4E" w:rsidP="00C16891">
      <w:pPr>
        <w:spacing w:line="240" w:lineRule="auto"/>
        <w:rPr>
          <w:sz w:val="28"/>
        </w:rPr>
      </w:pPr>
      <w:r w:rsidRPr="003B1460">
        <w:rPr>
          <w:sz w:val="28"/>
        </w:rPr>
        <w:t>громади, які страждають на рідкісні (</w:t>
      </w:r>
      <w:proofErr w:type="spellStart"/>
      <w:r w:rsidRPr="003B1460">
        <w:rPr>
          <w:sz w:val="28"/>
        </w:rPr>
        <w:t>орфанні</w:t>
      </w:r>
      <w:proofErr w:type="spellEnd"/>
      <w:r w:rsidRPr="003B1460">
        <w:rPr>
          <w:sz w:val="28"/>
        </w:rPr>
        <w:t xml:space="preserve">) захворювання, </w:t>
      </w:r>
    </w:p>
    <w:p w14:paraId="5445E69B" w14:textId="46E80DF6" w:rsidR="005A4A4E" w:rsidRPr="003B1460" w:rsidRDefault="005A4A4E" w:rsidP="00C16891">
      <w:pPr>
        <w:spacing w:line="240" w:lineRule="auto"/>
        <w:rPr>
          <w:color w:val="000000" w:themeColor="text1"/>
          <w:sz w:val="28"/>
          <w:szCs w:val="28"/>
        </w:rPr>
      </w:pPr>
      <w:r w:rsidRPr="003B1460">
        <w:rPr>
          <w:sz w:val="28"/>
        </w:rPr>
        <w:t>лікарськими засобами та відповідними харчовими продуктами для спеціального дієтичного споживання на 2026 – 2027 роки</w:t>
      </w:r>
    </w:p>
    <w:p w14:paraId="19B14F54" w14:textId="77777777" w:rsidR="005A4A4E" w:rsidRPr="003B1460" w:rsidRDefault="005A4A4E" w:rsidP="00C16891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</w:p>
    <w:p w14:paraId="27EA6F4B" w14:textId="140A0EFE" w:rsidR="00EE6C94" w:rsidRPr="003B1460" w:rsidRDefault="0049270E" w:rsidP="00C16891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B1460">
        <w:rPr>
          <w:sz w:val="28"/>
          <w:szCs w:val="28"/>
        </w:rPr>
        <w:t xml:space="preserve">Відповідно до  </w:t>
      </w:r>
      <w:proofErr w:type="spellStart"/>
      <w:r w:rsidRPr="003B1460">
        <w:rPr>
          <w:sz w:val="28"/>
          <w:szCs w:val="28"/>
        </w:rPr>
        <w:t>ст.</w:t>
      </w:r>
      <w:proofErr w:type="spellEnd"/>
      <w:r w:rsidRPr="003B1460">
        <w:rPr>
          <w:sz w:val="28"/>
          <w:szCs w:val="28"/>
        </w:rPr>
        <w:t>  26</w:t>
      </w:r>
      <w:r w:rsidR="00934339" w:rsidRPr="003B1460">
        <w:rPr>
          <w:sz w:val="28"/>
          <w:szCs w:val="28"/>
        </w:rPr>
        <w:t xml:space="preserve">  Закону України «Про місцеве самоврядування в Україні» та з метою забезпечення мешканців  Рахівської територіальної громади, які страждають на  рідкісні (</w:t>
      </w:r>
      <w:proofErr w:type="spellStart"/>
      <w:r w:rsidR="00934339" w:rsidRPr="003B1460">
        <w:rPr>
          <w:sz w:val="28"/>
          <w:szCs w:val="28"/>
        </w:rPr>
        <w:t>орфанні</w:t>
      </w:r>
      <w:proofErr w:type="spellEnd"/>
      <w:r w:rsidR="00934339" w:rsidRPr="003B1460">
        <w:rPr>
          <w:sz w:val="28"/>
          <w:szCs w:val="28"/>
        </w:rPr>
        <w:t xml:space="preserve">) захворювання, лікарськими засобами та відповідними продуктами харчування  для спеціального дієтичного споживання,  Рахівська міська рада   </w:t>
      </w:r>
    </w:p>
    <w:p w14:paraId="67BC546E" w14:textId="77777777" w:rsidR="00EE6C94" w:rsidRPr="003B1460" w:rsidRDefault="00EE6C94" w:rsidP="00C16891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14:paraId="3EFFE50A" w14:textId="431008BB" w:rsidR="00EE6C94" w:rsidRPr="003B1460" w:rsidRDefault="00934339" w:rsidP="00C16891">
      <w:pPr>
        <w:pStyle w:val="a5"/>
        <w:rPr>
          <w:szCs w:val="28"/>
        </w:rPr>
      </w:pPr>
      <w:r w:rsidRPr="003B1460">
        <w:rPr>
          <w:szCs w:val="28"/>
        </w:rPr>
        <w:t>В</w:t>
      </w:r>
      <w:r w:rsidR="007A5B9A" w:rsidRPr="003B1460">
        <w:rPr>
          <w:szCs w:val="28"/>
        </w:rPr>
        <w:t xml:space="preserve"> </w:t>
      </w:r>
      <w:r w:rsidRPr="003B1460">
        <w:rPr>
          <w:szCs w:val="28"/>
        </w:rPr>
        <w:t>И</w:t>
      </w:r>
      <w:r w:rsidR="007A5B9A" w:rsidRPr="003B1460">
        <w:rPr>
          <w:szCs w:val="28"/>
        </w:rPr>
        <w:t xml:space="preserve"> </w:t>
      </w:r>
      <w:r w:rsidRPr="003B1460">
        <w:rPr>
          <w:szCs w:val="28"/>
        </w:rPr>
        <w:t>Р</w:t>
      </w:r>
      <w:r w:rsidR="007A5B9A" w:rsidRPr="003B1460">
        <w:rPr>
          <w:szCs w:val="28"/>
        </w:rPr>
        <w:t xml:space="preserve"> </w:t>
      </w:r>
      <w:r w:rsidRPr="003B1460">
        <w:rPr>
          <w:szCs w:val="28"/>
        </w:rPr>
        <w:t>І</w:t>
      </w:r>
      <w:r w:rsidR="007A5B9A" w:rsidRPr="003B1460">
        <w:rPr>
          <w:szCs w:val="28"/>
        </w:rPr>
        <w:t xml:space="preserve"> </w:t>
      </w:r>
      <w:r w:rsidRPr="003B1460">
        <w:rPr>
          <w:szCs w:val="28"/>
        </w:rPr>
        <w:t>Ш</w:t>
      </w:r>
      <w:r w:rsidR="007A5B9A" w:rsidRPr="003B1460">
        <w:rPr>
          <w:szCs w:val="28"/>
        </w:rPr>
        <w:t xml:space="preserve"> </w:t>
      </w:r>
      <w:r w:rsidRPr="003B1460">
        <w:rPr>
          <w:szCs w:val="28"/>
        </w:rPr>
        <w:t>И</w:t>
      </w:r>
      <w:r w:rsidR="007A5B9A" w:rsidRPr="003B1460">
        <w:rPr>
          <w:szCs w:val="28"/>
        </w:rPr>
        <w:t xml:space="preserve"> </w:t>
      </w:r>
      <w:r w:rsidRPr="003B1460">
        <w:rPr>
          <w:szCs w:val="28"/>
        </w:rPr>
        <w:t>Л</w:t>
      </w:r>
      <w:r w:rsidR="007A5B9A" w:rsidRPr="003B1460">
        <w:rPr>
          <w:szCs w:val="28"/>
        </w:rPr>
        <w:t xml:space="preserve"> </w:t>
      </w:r>
      <w:r w:rsidRPr="003B1460">
        <w:rPr>
          <w:szCs w:val="28"/>
        </w:rPr>
        <w:t>А:</w:t>
      </w:r>
    </w:p>
    <w:p w14:paraId="7A028BBE" w14:textId="77777777" w:rsidR="00EE6C94" w:rsidRPr="003B1460" w:rsidRDefault="00EE6C94" w:rsidP="00C16891">
      <w:pPr>
        <w:pStyle w:val="a5"/>
        <w:ind w:firstLine="708"/>
        <w:jc w:val="both"/>
        <w:rPr>
          <w:color w:val="FF0000"/>
          <w:szCs w:val="28"/>
        </w:rPr>
      </w:pPr>
    </w:p>
    <w:p w14:paraId="4EB7F36E" w14:textId="0AC62DCE" w:rsidR="00EE6C94" w:rsidRPr="003B1460" w:rsidRDefault="00934339" w:rsidP="00C16891">
      <w:pPr>
        <w:spacing w:line="240" w:lineRule="auto"/>
        <w:ind w:firstLine="709"/>
        <w:jc w:val="both"/>
        <w:rPr>
          <w:sz w:val="28"/>
          <w:szCs w:val="28"/>
        </w:rPr>
      </w:pPr>
      <w:r w:rsidRPr="003B1460">
        <w:rPr>
          <w:sz w:val="28"/>
          <w:szCs w:val="28"/>
        </w:rPr>
        <w:t xml:space="preserve">1. Затвердити Програму </w:t>
      </w:r>
      <w:r w:rsidRPr="003B1460">
        <w:rPr>
          <w:sz w:val="28"/>
        </w:rPr>
        <w:t>забезпечення жителів територіальної громади, які страждають на рідкісні (</w:t>
      </w:r>
      <w:proofErr w:type="spellStart"/>
      <w:r w:rsidRPr="003B1460">
        <w:rPr>
          <w:sz w:val="28"/>
        </w:rPr>
        <w:t>орфанні</w:t>
      </w:r>
      <w:proofErr w:type="spellEnd"/>
      <w:r w:rsidRPr="003B1460">
        <w:rPr>
          <w:sz w:val="28"/>
        </w:rPr>
        <w:t xml:space="preserve">) захворювання, лікарськими засобами та відповідними харчовими продуктами для спеціального дієтичного споживання на 2026 – 2027 роки, </w:t>
      </w:r>
      <w:r w:rsidR="007A5B9A" w:rsidRPr="003B1460">
        <w:rPr>
          <w:sz w:val="28"/>
        </w:rPr>
        <w:t>згідно додатку</w:t>
      </w:r>
      <w:r w:rsidRPr="003B1460">
        <w:rPr>
          <w:sz w:val="28"/>
          <w:szCs w:val="28"/>
        </w:rPr>
        <w:t>.</w:t>
      </w:r>
    </w:p>
    <w:p w14:paraId="3A37AB48" w14:textId="77777777" w:rsidR="00EE6C94" w:rsidRPr="003B1460" w:rsidRDefault="00934339" w:rsidP="00C16891">
      <w:pPr>
        <w:spacing w:line="240" w:lineRule="auto"/>
        <w:ind w:firstLine="709"/>
        <w:jc w:val="both"/>
        <w:rPr>
          <w:bCs/>
          <w:sz w:val="28"/>
          <w:szCs w:val="28"/>
        </w:rPr>
      </w:pPr>
      <w:r w:rsidRPr="003B1460">
        <w:rPr>
          <w:bCs/>
          <w:sz w:val="28"/>
          <w:szCs w:val="28"/>
        </w:rPr>
        <w:t>2. Комунальному некомерційному підприємству «</w:t>
      </w:r>
      <w:r w:rsidRPr="003B1460">
        <w:rPr>
          <w:sz w:val="28"/>
          <w:szCs w:val="28"/>
        </w:rPr>
        <w:t xml:space="preserve">Рахівська районна лікарня» Рахівської міської ради Закарпатської області  </w:t>
      </w:r>
      <w:r w:rsidRPr="003B1460">
        <w:rPr>
          <w:bCs/>
          <w:sz w:val="28"/>
          <w:szCs w:val="28"/>
        </w:rPr>
        <w:t>проінформувати міську раду про виконання Програми.</w:t>
      </w:r>
    </w:p>
    <w:p w14:paraId="58BBDBA3" w14:textId="77777777" w:rsidR="00EE6C94" w:rsidRPr="003B1460" w:rsidRDefault="00934339" w:rsidP="00C16891">
      <w:pPr>
        <w:spacing w:line="240" w:lineRule="auto"/>
        <w:ind w:firstLine="709"/>
        <w:jc w:val="both"/>
        <w:rPr>
          <w:bCs/>
          <w:sz w:val="28"/>
          <w:szCs w:val="28"/>
        </w:rPr>
      </w:pPr>
      <w:r w:rsidRPr="003B1460">
        <w:rPr>
          <w:sz w:val="28"/>
          <w:szCs w:val="28"/>
        </w:rPr>
        <w:t>3. Фінансування Програми здійснюється за рахунок коштів міського  бюджетів та інших джерел, не заборонених законодавством України</w:t>
      </w:r>
      <w:r w:rsidRPr="003B1460">
        <w:rPr>
          <w:bCs/>
          <w:sz w:val="28"/>
          <w:szCs w:val="28"/>
        </w:rPr>
        <w:t>.</w:t>
      </w:r>
    </w:p>
    <w:p w14:paraId="45429B5D" w14:textId="0BBD7C8A" w:rsidR="00EE6C94" w:rsidRPr="003B1460" w:rsidRDefault="00934339" w:rsidP="00C16891">
      <w:pPr>
        <w:spacing w:line="240" w:lineRule="auto"/>
        <w:ind w:firstLine="709"/>
        <w:jc w:val="both"/>
        <w:rPr>
          <w:sz w:val="28"/>
          <w:szCs w:val="28"/>
        </w:rPr>
      </w:pPr>
      <w:r w:rsidRPr="003B1460">
        <w:rPr>
          <w:sz w:val="28"/>
          <w:szCs w:val="28"/>
        </w:rPr>
        <w:t xml:space="preserve">4. Контроль за виконанням даного рішення покласти на  </w:t>
      </w:r>
      <w:r w:rsidRPr="003B1460">
        <w:rPr>
          <w:rFonts w:eastAsia="Arial"/>
          <w:color w:val="001D35"/>
          <w:sz w:val="28"/>
          <w:szCs w:val="28"/>
          <w:shd w:val="clear" w:color="auto" w:fill="FFFFFF"/>
        </w:rPr>
        <w:t>комісію з питань соціально-економічного розвитку, освіти, культури, охорони здоров'я, спорту та соціального захисту населення, д</w:t>
      </w:r>
      <w:r w:rsidR="007A5B9A" w:rsidRPr="003B1460">
        <w:rPr>
          <w:rFonts w:eastAsia="Arial"/>
          <w:color w:val="001D35"/>
          <w:sz w:val="28"/>
          <w:szCs w:val="28"/>
          <w:shd w:val="clear" w:color="auto" w:fill="FFFFFF"/>
        </w:rPr>
        <w:t>епутатської етики та регламенту</w:t>
      </w:r>
      <w:r w:rsidRPr="003B1460">
        <w:rPr>
          <w:sz w:val="28"/>
          <w:szCs w:val="28"/>
        </w:rPr>
        <w:t xml:space="preserve">.  </w:t>
      </w:r>
    </w:p>
    <w:p w14:paraId="2211510C" w14:textId="77777777" w:rsidR="00EE6C94" w:rsidRPr="003B1460" w:rsidRDefault="00EE6C94" w:rsidP="00C16891">
      <w:pPr>
        <w:spacing w:line="240" w:lineRule="auto"/>
        <w:jc w:val="both"/>
        <w:rPr>
          <w:b/>
          <w:color w:val="000000"/>
          <w:sz w:val="28"/>
          <w:szCs w:val="28"/>
        </w:rPr>
      </w:pPr>
    </w:p>
    <w:p w14:paraId="0D5EFCA6" w14:textId="77777777" w:rsidR="00EE6C94" w:rsidRPr="003B1460" w:rsidRDefault="00934339" w:rsidP="00C16891">
      <w:pPr>
        <w:spacing w:line="240" w:lineRule="auto"/>
        <w:jc w:val="both"/>
        <w:rPr>
          <w:color w:val="000000"/>
          <w:sz w:val="28"/>
          <w:szCs w:val="28"/>
        </w:rPr>
      </w:pPr>
      <w:proofErr w:type="spellStart"/>
      <w:r w:rsidRPr="003B1460">
        <w:rPr>
          <w:color w:val="000000"/>
          <w:sz w:val="28"/>
          <w:szCs w:val="28"/>
        </w:rPr>
        <w:t>В.п</w:t>
      </w:r>
      <w:proofErr w:type="spellEnd"/>
      <w:r w:rsidRPr="003B1460">
        <w:rPr>
          <w:color w:val="000000"/>
          <w:sz w:val="28"/>
          <w:szCs w:val="28"/>
        </w:rPr>
        <w:t>. міського голови,</w:t>
      </w:r>
    </w:p>
    <w:p w14:paraId="100F2421" w14:textId="6FD7EC82" w:rsidR="00EE6C94" w:rsidRPr="003B1460" w:rsidRDefault="00934339" w:rsidP="00C16891">
      <w:pPr>
        <w:spacing w:line="240" w:lineRule="auto"/>
        <w:jc w:val="both"/>
        <w:rPr>
          <w:color w:val="000000"/>
          <w:sz w:val="28"/>
          <w:szCs w:val="28"/>
        </w:rPr>
      </w:pPr>
      <w:r w:rsidRPr="003B1460">
        <w:rPr>
          <w:color w:val="000000"/>
          <w:sz w:val="28"/>
          <w:szCs w:val="28"/>
        </w:rPr>
        <w:t xml:space="preserve">секретар ради та виконкому                                       </w:t>
      </w:r>
      <w:r w:rsidR="007A5B9A" w:rsidRPr="003B1460">
        <w:rPr>
          <w:color w:val="000000"/>
          <w:sz w:val="28"/>
          <w:szCs w:val="28"/>
        </w:rPr>
        <w:tab/>
      </w:r>
      <w:r w:rsidRPr="003B1460">
        <w:rPr>
          <w:color w:val="000000"/>
          <w:sz w:val="28"/>
          <w:szCs w:val="28"/>
        </w:rPr>
        <w:t>Євген МОЛНАР</w:t>
      </w:r>
    </w:p>
    <w:p w14:paraId="683FC964" w14:textId="77777777" w:rsidR="00BE73A3" w:rsidRDefault="00BE73A3" w:rsidP="00BE73A3">
      <w:pPr>
        <w:spacing w:line="24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Згідно з оригіналом:</w:t>
      </w:r>
    </w:p>
    <w:p w14:paraId="4A7F20EC" w14:textId="721DFBD5" w:rsidR="007815BD" w:rsidRPr="003B1460" w:rsidRDefault="00BE73A3" w:rsidP="00BE73A3">
      <w:pPr>
        <w:spacing w:line="240" w:lineRule="auto"/>
        <w:rPr>
          <w:color w:val="000000"/>
          <w:sz w:val="28"/>
          <w:szCs w:val="28"/>
        </w:rPr>
      </w:pPr>
      <w:r w:rsidRPr="003B1460">
        <w:rPr>
          <w:color w:val="000000"/>
          <w:sz w:val="28"/>
          <w:szCs w:val="28"/>
        </w:rPr>
        <w:t xml:space="preserve"> </w:t>
      </w:r>
      <w:bookmarkStart w:id="0" w:name="_GoBack"/>
      <w:bookmarkEnd w:id="0"/>
      <w:r w:rsidR="007815BD" w:rsidRPr="003B1460">
        <w:rPr>
          <w:color w:val="000000"/>
          <w:sz w:val="28"/>
          <w:szCs w:val="28"/>
        </w:rPr>
        <w:br w:type="page"/>
      </w:r>
    </w:p>
    <w:p w14:paraId="0A1EEDAE" w14:textId="77777777" w:rsidR="007815BD" w:rsidRPr="003B1460" w:rsidRDefault="007815BD" w:rsidP="00C16891">
      <w:pPr>
        <w:spacing w:line="240" w:lineRule="auto"/>
        <w:rPr>
          <w:color w:val="000000"/>
          <w:sz w:val="28"/>
          <w:szCs w:val="28"/>
        </w:rPr>
      </w:pPr>
    </w:p>
    <w:p w14:paraId="2660BC3E" w14:textId="77777777" w:rsidR="007815BD" w:rsidRPr="003B1460" w:rsidRDefault="007815BD" w:rsidP="00C16891">
      <w:pPr>
        <w:spacing w:line="240" w:lineRule="auto"/>
        <w:jc w:val="center"/>
        <w:rPr>
          <w:b/>
          <w:sz w:val="32"/>
          <w:szCs w:val="32"/>
        </w:rPr>
      </w:pPr>
    </w:p>
    <w:p w14:paraId="68225D1B" w14:textId="77777777" w:rsidR="007815BD" w:rsidRPr="003B1460" w:rsidRDefault="007815BD" w:rsidP="00C16891">
      <w:pPr>
        <w:spacing w:line="240" w:lineRule="auto"/>
        <w:jc w:val="center"/>
        <w:rPr>
          <w:b/>
          <w:sz w:val="32"/>
          <w:szCs w:val="32"/>
        </w:rPr>
      </w:pPr>
      <w:r w:rsidRPr="003B1460">
        <w:rPr>
          <w:b/>
          <w:sz w:val="32"/>
          <w:szCs w:val="32"/>
        </w:rPr>
        <w:t>ПАСПОРТ</w:t>
      </w:r>
    </w:p>
    <w:p w14:paraId="095AB2B3" w14:textId="77777777" w:rsidR="007815BD" w:rsidRPr="003B1460" w:rsidRDefault="007815BD" w:rsidP="00C16891">
      <w:pPr>
        <w:spacing w:line="240" w:lineRule="auto"/>
        <w:jc w:val="center"/>
        <w:rPr>
          <w:b/>
          <w:sz w:val="28"/>
        </w:rPr>
      </w:pPr>
      <w:r w:rsidRPr="003B1460">
        <w:rPr>
          <w:b/>
          <w:sz w:val="28"/>
        </w:rPr>
        <w:t xml:space="preserve"> програми забезпечення жителів Рахівської громади,</w:t>
      </w:r>
    </w:p>
    <w:p w14:paraId="778620FD" w14:textId="77777777" w:rsidR="007815BD" w:rsidRPr="003B1460" w:rsidRDefault="007815BD" w:rsidP="00C16891">
      <w:pPr>
        <w:spacing w:line="240" w:lineRule="auto"/>
        <w:jc w:val="center"/>
        <w:rPr>
          <w:b/>
          <w:sz w:val="28"/>
        </w:rPr>
      </w:pPr>
      <w:r w:rsidRPr="003B1460">
        <w:rPr>
          <w:b/>
          <w:sz w:val="28"/>
        </w:rPr>
        <w:t xml:space="preserve"> які страждають на рідкісні (</w:t>
      </w:r>
      <w:proofErr w:type="spellStart"/>
      <w:r w:rsidRPr="003B1460">
        <w:rPr>
          <w:b/>
          <w:sz w:val="28"/>
        </w:rPr>
        <w:t>орфанні</w:t>
      </w:r>
      <w:proofErr w:type="spellEnd"/>
      <w:r w:rsidRPr="003B1460">
        <w:rPr>
          <w:b/>
          <w:sz w:val="28"/>
        </w:rPr>
        <w:t>) захворювання, лікарськими засобами та відповідними харчовими продуктами для спеціального дієтичного споживання на 2026 – 2027 роки</w:t>
      </w:r>
      <w:r w:rsidRPr="003B1460">
        <w:rPr>
          <w:sz w:val="28"/>
        </w:rPr>
        <w:t xml:space="preserve"> </w:t>
      </w:r>
    </w:p>
    <w:p w14:paraId="6FAC914E" w14:textId="77777777" w:rsidR="007815BD" w:rsidRPr="003B1460" w:rsidRDefault="007815BD" w:rsidP="00C16891">
      <w:pPr>
        <w:spacing w:line="240" w:lineRule="auto"/>
        <w:jc w:val="center"/>
        <w:rPr>
          <w:b/>
          <w:i/>
          <w:sz w:val="32"/>
          <w:szCs w:val="32"/>
        </w:rPr>
      </w:pPr>
    </w:p>
    <w:tbl>
      <w:tblPr>
        <w:tblW w:w="9636" w:type="dxa"/>
        <w:tblLayout w:type="fixed"/>
        <w:tblLook w:val="04A0" w:firstRow="1" w:lastRow="0" w:firstColumn="1" w:lastColumn="0" w:noHBand="0" w:noVBand="1"/>
      </w:tblPr>
      <w:tblGrid>
        <w:gridCol w:w="676"/>
        <w:gridCol w:w="3181"/>
        <w:gridCol w:w="5779"/>
      </w:tblGrid>
      <w:tr w:rsidR="007815BD" w:rsidRPr="003B1460" w14:paraId="2FC638E4" w14:textId="77777777" w:rsidTr="007815BD">
        <w:tc>
          <w:tcPr>
            <w:tcW w:w="675" w:type="dxa"/>
          </w:tcPr>
          <w:p w14:paraId="4A4F3FDE" w14:textId="77777777" w:rsidR="007815BD" w:rsidRPr="003B1460" w:rsidRDefault="007815BD" w:rsidP="00C16891">
            <w:pPr>
              <w:numPr>
                <w:ilvl w:val="0"/>
                <w:numId w:val="3"/>
              </w:numPr>
              <w:spacing w:line="240" w:lineRule="auto"/>
              <w:ind w:left="0"/>
              <w:jc w:val="both"/>
              <w:rPr>
                <w:sz w:val="28"/>
              </w:rPr>
            </w:pPr>
          </w:p>
        </w:tc>
        <w:tc>
          <w:tcPr>
            <w:tcW w:w="3180" w:type="dxa"/>
            <w:hideMark/>
          </w:tcPr>
          <w:p w14:paraId="5D51FC17" w14:textId="77777777" w:rsidR="007815BD" w:rsidRPr="003B1460" w:rsidRDefault="007815BD" w:rsidP="00C16891">
            <w:pPr>
              <w:spacing w:line="240" w:lineRule="auto"/>
              <w:jc w:val="both"/>
              <w:rPr>
                <w:sz w:val="28"/>
              </w:rPr>
            </w:pPr>
            <w:r w:rsidRPr="003B1460">
              <w:rPr>
                <w:bCs/>
                <w:sz w:val="28"/>
                <w:szCs w:val="28"/>
              </w:rPr>
              <w:t>Назва Програми</w:t>
            </w:r>
          </w:p>
        </w:tc>
        <w:tc>
          <w:tcPr>
            <w:tcW w:w="5777" w:type="dxa"/>
            <w:hideMark/>
          </w:tcPr>
          <w:p w14:paraId="2D40F365" w14:textId="77777777" w:rsidR="007815BD" w:rsidRPr="003B1460" w:rsidRDefault="007815BD" w:rsidP="00C16891">
            <w:pPr>
              <w:spacing w:line="240" w:lineRule="auto"/>
              <w:jc w:val="both"/>
              <w:rPr>
                <w:sz w:val="28"/>
              </w:rPr>
            </w:pPr>
            <w:r w:rsidRPr="003B1460">
              <w:rPr>
                <w:bCs/>
                <w:sz w:val="28"/>
              </w:rPr>
              <w:t>Програма забезпечення жителів територіальної громади, які страждають на рідкісні (</w:t>
            </w:r>
            <w:proofErr w:type="spellStart"/>
            <w:r w:rsidRPr="003B1460">
              <w:rPr>
                <w:bCs/>
                <w:sz w:val="28"/>
              </w:rPr>
              <w:t>орфанні</w:t>
            </w:r>
            <w:proofErr w:type="spellEnd"/>
            <w:r w:rsidRPr="003B1460">
              <w:rPr>
                <w:bCs/>
                <w:sz w:val="28"/>
              </w:rPr>
              <w:t>) захворювання, лікарськими засобами та відповідними харчовими продуктами для спеціального дієтичного споживання на 2026 – 2027 роки</w:t>
            </w:r>
          </w:p>
        </w:tc>
      </w:tr>
      <w:tr w:rsidR="007815BD" w:rsidRPr="003B1460" w14:paraId="77373D31" w14:textId="77777777" w:rsidTr="007815BD">
        <w:tc>
          <w:tcPr>
            <w:tcW w:w="675" w:type="dxa"/>
          </w:tcPr>
          <w:p w14:paraId="62815C71" w14:textId="77777777" w:rsidR="007815BD" w:rsidRPr="003B1460" w:rsidRDefault="007815BD" w:rsidP="00C16891">
            <w:pPr>
              <w:numPr>
                <w:ilvl w:val="0"/>
                <w:numId w:val="3"/>
              </w:numPr>
              <w:spacing w:line="240" w:lineRule="auto"/>
              <w:ind w:left="0"/>
              <w:jc w:val="both"/>
              <w:rPr>
                <w:sz w:val="28"/>
              </w:rPr>
            </w:pPr>
          </w:p>
        </w:tc>
        <w:tc>
          <w:tcPr>
            <w:tcW w:w="3180" w:type="dxa"/>
            <w:hideMark/>
          </w:tcPr>
          <w:p w14:paraId="17C43E2F" w14:textId="77777777" w:rsidR="007815BD" w:rsidRPr="003B1460" w:rsidRDefault="007815BD" w:rsidP="00C16891">
            <w:pPr>
              <w:spacing w:line="240" w:lineRule="auto"/>
              <w:jc w:val="both"/>
              <w:rPr>
                <w:sz w:val="28"/>
              </w:rPr>
            </w:pPr>
            <w:r w:rsidRPr="003B1460">
              <w:rPr>
                <w:sz w:val="28"/>
              </w:rPr>
              <w:t>Ініціатор розроблення програми</w:t>
            </w:r>
          </w:p>
        </w:tc>
        <w:tc>
          <w:tcPr>
            <w:tcW w:w="5777" w:type="dxa"/>
            <w:hideMark/>
          </w:tcPr>
          <w:p w14:paraId="5E925076" w14:textId="77777777" w:rsidR="007815BD" w:rsidRPr="003B1460" w:rsidRDefault="007815BD" w:rsidP="00C16891">
            <w:pPr>
              <w:spacing w:line="240" w:lineRule="auto"/>
              <w:jc w:val="both"/>
              <w:rPr>
                <w:bCs/>
                <w:sz w:val="28"/>
                <w:szCs w:val="28"/>
              </w:rPr>
            </w:pPr>
            <w:r w:rsidRPr="003B1460">
              <w:rPr>
                <w:bCs/>
                <w:sz w:val="28"/>
                <w:szCs w:val="28"/>
              </w:rPr>
              <w:t xml:space="preserve">Комунальне некомерційне підприємство </w:t>
            </w:r>
          </w:p>
          <w:p w14:paraId="2E25B255" w14:textId="77777777" w:rsidR="007815BD" w:rsidRPr="003B1460" w:rsidRDefault="007815BD" w:rsidP="00C16891">
            <w:pPr>
              <w:tabs>
                <w:tab w:val="left" w:pos="2400"/>
              </w:tabs>
              <w:spacing w:line="240" w:lineRule="auto"/>
              <w:jc w:val="both"/>
              <w:outlineLvl w:val="0"/>
              <w:rPr>
                <w:sz w:val="28"/>
              </w:rPr>
            </w:pPr>
            <w:r w:rsidRPr="003B1460">
              <w:rPr>
                <w:sz w:val="28"/>
                <w:szCs w:val="28"/>
              </w:rPr>
              <w:t>«Рахівська районна лікарня» Рахівської міської ради Закарпатської області</w:t>
            </w:r>
          </w:p>
        </w:tc>
      </w:tr>
      <w:tr w:rsidR="007815BD" w:rsidRPr="003B1460" w14:paraId="3CA006F3" w14:textId="77777777" w:rsidTr="007815BD">
        <w:tc>
          <w:tcPr>
            <w:tcW w:w="675" w:type="dxa"/>
          </w:tcPr>
          <w:p w14:paraId="1D338A99" w14:textId="77777777" w:rsidR="007815BD" w:rsidRPr="003B1460" w:rsidRDefault="007815BD" w:rsidP="00C16891">
            <w:pPr>
              <w:numPr>
                <w:ilvl w:val="0"/>
                <w:numId w:val="3"/>
              </w:numPr>
              <w:spacing w:line="240" w:lineRule="auto"/>
              <w:ind w:left="0"/>
              <w:jc w:val="both"/>
              <w:rPr>
                <w:sz w:val="28"/>
              </w:rPr>
            </w:pPr>
          </w:p>
        </w:tc>
        <w:tc>
          <w:tcPr>
            <w:tcW w:w="3180" w:type="dxa"/>
            <w:hideMark/>
          </w:tcPr>
          <w:p w14:paraId="5D58C48E" w14:textId="77777777" w:rsidR="007815BD" w:rsidRPr="003B1460" w:rsidRDefault="007815BD" w:rsidP="00C16891">
            <w:pPr>
              <w:spacing w:line="240" w:lineRule="auto"/>
              <w:jc w:val="both"/>
              <w:rPr>
                <w:sz w:val="28"/>
              </w:rPr>
            </w:pPr>
            <w:r w:rsidRPr="003B1460">
              <w:rPr>
                <w:sz w:val="28"/>
              </w:rPr>
              <w:t>Розробник програми</w:t>
            </w:r>
          </w:p>
        </w:tc>
        <w:tc>
          <w:tcPr>
            <w:tcW w:w="5777" w:type="dxa"/>
            <w:hideMark/>
          </w:tcPr>
          <w:p w14:paraId="31796589" w14:textId="77777777" w:rsidR="007815BD" w:rsidRPr="003B1460" w:rsidRDefault="007815BD" w:rsidP="00C16891">
            <w:pPr>
              <w:spacing w:line="240" w:lineRule="auto"/>
              <w:jc w:val="both"/>
              <w:rPr>
                <w:bCs/>
                <w:sz w:val="28"/>
                <w:szCs w:val="28"/>
              </w:rPr>
            </w:pPr>
            <w:r w:rsidRPr="003B1460">
              <w:rPr>
                <w:bCs/>
                <w:sz w:val="28"/>
                <w:szCs w:val="28"/>
              </w:rPr>
              <w:t xml:space="preserve">Комунальне некомерційне підприємство </w:t>
            </w:r>
          </w:p>
          <w:p w14:paraId="19390C78" w14:textId="77777777" w:rsidR="007815BD" w:rsidRPr="003B1460" w:rsidRDefault="007815BD" w:rsidP="00C16891">
            <w:pPr>
              <w:tabs>
                <w:tab w:val="left" w:pos="2400"/>
              </w:tabs>
              <w:spacing w:line="240" w:lineRule="auto"/>
              <w:jc w:val="both"/>
              <w:outlineLvl w:val="0"/>
              <w:rPr>
                <w:sz w:val="28"/>
              </w:rPr>
            </w:pPr>
            <w:r w:rsidRPr="003B1460">
              <w:rPr>
                <w:sz w:val="28"/>
                <w:szCs w:val="28"/>
              </w:rPr>
              <w:t>«Рахівська районна лікарня» Рахівської міської ради Закарпатської області</w:t>
            </w:r>
          </w:p>
        </w:tc>
      </w:tr>
      <w:tr w:rsidR="007815BD" w:rsidRPr="003B1460" w14:paraId="0FEB23D2" w14:textId="77777777" w:rsidTr="007815BD">
        <w:tc>
          <w:tcPr>
            <w:tcW w:w="675" w:type="dxa"/>
          </w:tcPr>
          <w:p w14:paraId="62376A52" w14:textId="77777777" w:rsidR="007815BD" w:rsidRPr="003B1460" w:rsidRDefault="007815BD" w:rsidP="00C16891">
            <w:pPr>
              <w:numPr>
                <w:ilvl w:val="0"/>
                <w:numId w:val="3"/>
              </w:numPr>
              <w:spacing w:line="240" w:lineRule="auto"/>
              <w:ind w:left="0"/>
              <w:jc w:val="both"/>
              <w:rPr>
                <w:sz w:val="28"/>
              </w:rPr>
            </w:pPr>
          </w:p>
        </w:tc>
        <w:tc>
          <w:tcPr>
            <w:tcW w:w="3180" w:type="dxa"/>
            <w:hideMark/>
          </w:tcPr>
          <w:p w14:paraId="02F6C806" w14:textId="77777777" w:rsidR="007815BD" w:rsidRPr="003B1460" w:rsidRDefault="007815BD" w:rsidP="00C16891">
            <w:pPr>
              <w:spacing w:line="240" w:lineRule="auto"/>
              <w:jc w:val="both"/>
              <w:rPr>
                <w:sz w:val="28"/>
              </w:rPr>
            </w:pPr>
            <w:r w:rsidRPr="003B1460">
              <w:rPr>
                <w:sz w:val="28"/>
                <w:szCs w:val="28"/>
              </w:rPr>
              <w:t>Відповідальний виконавець програми</w:t>
            </w:r>
          </w:p>
        </w:tc>
        <w:tc>
          <w:tcPr>
            <w:tcW w:w="5777" w:type="dxa"/>
            <w:hideMark/>
          </w:tcPr>
          <w:p w14:paraId="506447CD" w14:textId="77777777" w:rsidR="007815BD" w:rsidRPr="003B1460" w:rsidRDefault="007815BD" w:rsidP="00C16891">
            <w:pPr>
              <w:spacing w:line="240" w:lineRule="auto"/>
              <w:jc w:val="both"/>
              <w:rPr>
                <w:bCs/>
                <w:sz w:val="28"/>
                <w:szCs w:val="28"/>
              </w:rPr>
            </w:pPr>
            <w:r w:rsidRPr="003B1460">
              <w:rPr>
                <w:bCs/>
                <w:sz w:val="28"/>
                <w:szCs w:val="28"/>
              </w:rPr>
              <w:t xml:space="preserve">Комунальне некомерційне підприємство </w:t>
            </w:r>
          </w:p>
          <w:p w14:paraId="3223511A" w14:textId="77777777" w:rsidR="007815BD" w:rsidRPr="003B1460" w:rsidRDefault="007815BD" w:rsidP="00C16891">
            <w:pPr>
              <w:tabs>
                <w:tab w:val="left" w:pos="2400"/>
              </w:tabs>
              <w:spacing w:line="240" w:lineRule="auto"/>
              <w:jc w:val="both"/>
              <w:outlineLvl w:val="0"/>
              <w:rPr>
                <w:sz w:val="28"/>
                <w:szCs w:val="28"/>
              </w:rPr>
            </w:pPr>
            <w:r w:rsidRPr="003B1460">
              <w:rPr>
                <w:sz w:val="28"/>
                <w:szCs w:val="28"/>
              </w:rPr>
              <w:t>«Рахівська районна лікарня» Рахівської міської ради Закарпатської області</w:t>
            </w:r>
          </w:p>
        </w:tc>
      </w:tr>
      <w:tr w:rsidR="007815BD" w:rsidRPr="003B1460" w14:paraId="7C140828" w14:textId="77777777" w:rsidTr="007815BD">
        <w:tc>
          <w:tcPr>
            <w:tcW w:w="675" w:type="dxa"/>
          </w:tcPr>
          <w:p w14:paraId="4AC9ECCE" w14:textId="77777777" w:rsidR="007815BD" w:rsidRPr="003B1460" w:rsidRDefault="007815BD" w:rsidP="00C16891">
            <w:pPr>
              <w:numPr>
                <w:ilvl w:val="0"/>
                <w:numId w:val="3"/>
              </w:numPr>
              <w:spacing w:line="240" w:lineRule="auto"/>
              <w:ind w:left="0"/>
              <w:jc w:val="both"/>
              <w:rPr>
                <w:sz w:val="28"/>
              </w:rPr>
            </w:pPr>
          </w:p>
        </w:tc>
        <w:tc>
          <w:tcPr>
            <w:tcW w:w="3180" w:type="dxa"/>
            <w:hideMark/>
          </w:tcPr>
          <w:p w14:paraId="3F8E798C" w14:textId="77777777" w:rsidR="007815BD" w:rsidRPr="003B1460" w:rsidRDefault="007815BD" w:rsidP="00C16891">
            <w:pPr>
              <w:spacing w:line="240" w:lineRule="auto"/>
              <w:jc w:val="both"/>
              <w:rPr>
                <w:sz w:val="28"/>
                <w:szCs w:val="28"/>
              </w:rPr>
            </w:pPr>
            <w:r w:rsidRPr="003B1460">
              <w:rPr>
                <w:sz w:val="28"/>
                <w:szCs w:val="28"/>
              </w:rPr>
              <w:t>Учасники програми</w:t>
            </w:r>
          </w:p>
        </w:tc>
        <w:tc>
          <w:tcPr>
            <w:tcW w:w="5777" w:type="dxa"/>
            <w:hideMark/>
          </w:tcPr>
          <w:p w14:paraId="57D9BA1D" w14:textId="77777777" w:rsidR="007815BD" w:rsidRPr="003B1460" w:rsidRDefault="007815BD" w:rsidP="00C16891">
            <w:pPr>
              <w:spacing w:line="240" w:lineRule="auto"/>
              <w:jc w:val="both"/>
              <w:rPr>
                <w:bCs/>
                <w:sz w:val="28"/>
                <w:szCs w:val="28"/>
              </w:rPr>
            </w:pPr>
            <w:r w:rsidRPr="003B1460">
              <w:rPr>
                <w:bCs/>
                <w:sz w:val="28"/>
                <w:szCs w:val="28"/>
              </w:rPr>
              <w:t xml:space="preserve">Комунальне некомерційне підприємство </w:t>
            </w:r>
          </w:p>
          <w:p w14:paraId="56C5C499" w14:textId="77777777" w:rsidR="007815BD" w:rsidRPr="003B1460" w:rsidRDefault="007815BD" w:rsidP="00C16891">
            <w:pPr>
              <w:spacing w:line="240" w:lineRule="auto"/>
              <w:jc w:val="both"/>
              <w:rPr>
                <w:sz w:val="28"/>
              </w:rPr>
            </w:pPr>
            <w:r w:rsidRPr="003B1460">
              <w:rPr>
                <w:sz w:val="28"/>
                <w:szCs w:val="28"/>
              </w:rPr>
              <w:t>«Рахівська районна лікарня» Рахівської міської ради Закарпатської області</w:t>
            </w:r>
          </w:p>
        </w:tc>
      </w:tr>
      <w:tr w:rsidR="007815BD" w:rsidRPr="003B1460" w14:paraId="211C0AC0" w14:textId="77777777" w:rsidTr="007815BD">
        <w:tc>
          <w:tcPr>
            <w:tcW w:w="675" w:type="dxa"/>
          </w:tcPr>
          <w:p w14:paraId="2789D9EC" w14:textId="77777777" w:rsidR="007815BD" w:rsidRPr="003B1460" w:rsidRDefault="007815BD" w:rsidP="00C16891">
            <w:pPr>
              <w:numPr>
                <w:ilvl w:val="0"/>
                <w:numId w:val="3"/>
              </w:numPr>
              <w:spacing w:line="240" w:lineRule="auto"/>
              <w:ind w:left="0"/>
              <w:jc w:val="both"/>
              <w:rPr>
                <w:sz w:val="28"/>
              </w:rPr>
            </w:pPr>
          </w:p>
        </w:tc>
        <w:tc>
          <w:tcPr>
            <w:tcW w:w="3180" w:type="dxa"/>
            <w:hideMark/>
          </w:tcPr>
          <w:p w14:paraId="6E7A0215" w14:textId="77777777" w:rsidR="007815BD" w:rsidRPr="003B1460" w:rsidRDefault="007815BD" w:rsidP="00C16891">
            <w:pPr>
              <w:spacing w:line="240" w:lineRule="auto"/>
              <w:outlineLvl w:val="0"/>
              <w:rPr>
                <w:sz w:val="28"/>
              </w:rPr>
            </w:pPr>
            <w:r w:rsidRPr="003B1460">
              <w:rPr>
                <w:sz w:val="28"/>
              </w:rPr>
              <w:t>Терміни реалізації програми</w:t>
            </w:r>
          </w:p>
        </w:tc>
        <w:tc>
          <w:tcPr>
            <w:tcW w:w="5777" w:type="dxa"/>
            <w:vAlign w:val="center"/>
            <w:hideMark/>
          </w:tcPr>
          <w:p w14:paraId="59AEC72E" w14:textId="77777777" w:rsidR="007815BD" w:rsidRPr="003B1460" w:rsidRDefault="007815BD" w:rsidP="00C16891">
            <w:pPr>
              <w:spacing w:line="240" w:lineRule="auto"/>
              <w:rPr>
                <w:sz w:val="28"/>
              </w:rPr>
            </w:pPr>
            <w:r w:rsidRPr="003B1460">
              <w:rPr>
                <w:sz w:val="28"/>
              </w:rPr>
              <w:t>2026 - 2027  роки</w:t>
            </w:r>
          </w:p>
        </w:tc>
      </w:tr>
      <w:tr w:rsidR="007815BD" w:rsidRPr="003B1460" w14:paraId="6C8E870A" w14:textId="77777777" w:rsidTr="007815BD">
        <w:trPr>
          <w:trHeight w:val="1737"/>
        </w:trPr>
        <w:tc>
          <w:tcPr>
            <w:tcW w:w="675" w:type="dxa"/>
          </w:tcPr>
          <w:p w14:paraId="4BD535D3" w14:textId="77777777" w:rsidR="007815BD" w:rsidRPr="003B1460" w:rsidRDefault="007815BD" w:rsidP="00C16891">
            <w:pPr>
              <w:numPr>
                <w:ilvl w:val="0"/>
                <w:numId w:val="3"/>
              </w:numPr>
              <w:spacing w:line="240" w:lineRule="auto"/>
              <w:ind w:left="0"/>
              <w:jc w:val="both"/>
              <w:rPr>
                <w:sz w:val="28"/>
              </w:rPr>
            </w:pPr>
          </w:p>
        </w:tc>
        <w:tc>
          <w:tcPr>
            <w:tcW w:w="3180" w:type="dxa"/>
            <w:hideMark/>
          </w:tcPr>
          <w:p w14:paraId="4D7EC3D5" w14:textId="77777777" w:rsidR="007815BD" w:rsidRPr="003B1460" w:rsidRDefault="007815BD" w:rsidP="00C16891">
            <w:pPr>
              <w:spacing w:line="240" w:lineRule="auto"/>
              <w:outlineLvl w:val="0"/>
              <w:rPr>
                <w:sz w:val="28"/>
              </w:rPr>
            </w:pPr>
            <w:r w:rsidRPr="003B1460">
              <w:rPr>
                <w:sz w:val="28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5777" w:type="dxa"/>
          </w:tcPr>
          <w:p w14:paraId="132B969A" w14:textId="77777777" w:rsidR="007815BD" w:rsidRPr="003B1460" w:rsidRDefault="007815BD" w:rsidP="00C16891">
            <w:pPr>
              <w:spacing w:line="240" w:lineRule="auto"/>
              <w:jc w:val="both"/>
              <w:rPr>
                <w:sz w:val="28"/>
              </w:rPr>
            </w:pPr>
          </w:p>
          <w:p w14:paraId="0A3D4BB8" w14:textId="055F91BA" w:rsidR="007815BD" w:rsidRPr="003B1460" w:rsidRDefault="007815BD" w:rsidP="00C16891">
            <w:pPr>
              <w:spacing w:line="240" w:lineRule="auto"/>
              <w:jc w:val="both"/>
              <w:rPr>
                <w:sz w:val="28"/>
              </w:rPr>
            </w:pPr>
            <w:r w:rsidRPr="003B1460">
              <w:rPr>
                <w:sz w:val="28"/>
              </w:rPr>
              <w:t xml:space="preserve"> 200,00 тис. </w:t>
            </w:r>
            <w:r w:rsidR="00201C15" w:rsidRPr="003B1460">
              <w:rPr>
                <w:sz w:val="28"/>
              </w:rPr>
              <w:t>грн..</w:t>
            </w:r>
          </w:p>
        </w:tc>
      </w:tr>
    </w:tbl>
    <w:p w14:paraId="32DF897D" w14:textId="77777777" w:rsidR="007815BD" w:rsidRPr="003B1460" w:rsidRDefault="007815BD" w:rsidP="00C16891">
      <w:pPr>
        <w:spacing w:line="240" w:lineRule="auto"/>
        <w:jc w:val="center"/>
        <w:rPr>
          <w:b/>
          <w:sz w:val="32"/>
          <w:szCs w:val="32"/>
        </w:rPr>
      </w:pPr>
    </w:p>
    <w:p w14:paraId="49992BAA" w14:textId="5660613C" w:rsidR="007A5B9A" w:rsidRPr="003B1460" w:rsidRDefault="007A5B9A" w:rsidP="00C16891">
      <w:pPr>
        <w:spacing w:line="240" w:lineRule="auto"/>
        <w:rPr>
          <w:color w:val="000000"/>
          <w:sz w:val="28"/>
          <w:szCs w:val="28"/>
        </w:rPr>
      </w:pPr>
      <w:r w:rsidRPr="003B1460">
        <w:rPr>
          <w:color w:val="000000"/>
          <w:sz w:val="28"/>
          <w:szCs w:val="28"/>
        </w:rPr>
        <w:br w:type="page"/>
      </w:r>
    </w:p>
    <w:p w14:paraId="34A2EB5B" w14:textId="77777777" w:rsidR="007A5B9A" w:rsidRPr="003B1460" w:rsidRDefault="007A5B9A" w:rsidP="00C16891">
      <w:pPr>
        <w:spacing w:line="240" w:lineRule="auto"/>
        <w:rPr>
          <w:color w:val="000000" w:themeColor="text1"/>
        </w:rPr>
      </w:pPr>
    </w:p>
    <w:tbl>
      <w:tblPr>
        <w:tblStyle w:val="a7"/>
        <w:tblW w:w="0" w:type="auto"/>
        <w:tblInd w:w="66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1"/>
      </w:tblGrid>
      <w:tr w:rsidR="007A5B9A" w:rsidRPr="003B1460" w14:paraId="47F9E0C7" w14:textId="77777777" w:rsidTr="00201C15">
        <w:trPr>
          <w:trHeight w:val="1043"/>
        </w:trPr>
        <w:tc>
          <w:tcPr>
            <w:tcW w:w="2941" w:type="dxa"/>
            <w:hideMark/>
          </w:tcPr>
          <w:p w14:paraId="692BC87D" w14:textId="77777777" w:rsidR="007A5B9A" w:rsidRPr="003B1460" w:rsidRDefault="007A5B9A" w:rsidP="00C16891">
            <w:pPr>
              <w:spacing w:line="240" w:lineRule="auto"/>
              <w:rPr>
                <w:rFonts w:eastAsia="Times New Roman"/>
                <w:color w:val="000000" w:themeColor="text1"/>
                <w:sz w:val="24"/>
                <w:szCs w:val="24"/>
                <w:lang w:eastAsia="ar-SA"/>
              </w:rPr>
            </w:pPr>
            <w:r w:rsidRPr="003B1460">
              <w:rPr>
                <w:color w:val="000000" w:themeColor="text1"/>
                <w:sz w:val="24"/>
                <w:szCs w:val="24"/>
                <w:lang w:eastAsia="en-US"/>
              </w:rPr>
              <w:t xml:space="preserve">           Додаток                                                                              до рішення міської ради  </w:t>
            </w:r>
          </w:p>
          <w:p w14:paraId="4FB759B9" w14:textId="39A5C8CE" w:rsidR="007A5B9A" w:rsidRPr="003B1460" w:rsidRDefault="00201C15" w:rsidP="00C16891">
            <w:pPr>
              <w:spacing w:line="240" w:lineRule="auto"/>
              <w:rPr>
                <w:rFonts w:eastAsia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3B1460">
              <w:rPr>
                <w:color w:val="000000" w:themeColor="text1"/>
                <w:sz w:val="24"/>
                <w:szCs w:val="24"/>
                <w:lang w:eastAsia="en-US"/>
              </w:rPr>
              <w:t>80</w:t>
            </w:r>
            <w:r w:rsidR="007A5B9A" w:rsidRPr="003B1460">
              <w:rPr>
                <w:color w:val="000000" w:themeColor="text1"/>
                <w:sz w:val="24"/>
                <w:szCs w:val="24"/>
                <w:lang w:eastAsia="en-US"/>
              </w:rPr>
              <w:t xml:space="preserve">-ої сесії 8-го скликання                                                                       </w:t>
            </w:r>
            <w:r w:rsidRPr="003B1460">
              <w:rPr>
                <w:color w:val="000000" w:themeColor="text1"/>
                <w:sz w:val="24"/>
                <w:szCs w:val="24"/>
                <w:lang w:eastAsia="en-US"/>
              </w:rPr>
              <w:t xml:space="preserve">                          від 24</w:t>
            </w:r>
            <w:r w:rsidR="007A5B9A" w:rsidRPr="003B1460">
              <w:rPr>
                <w:color w:val="000000" w:themeColor="text1"/>
                <w:sz w:val="24"/>
                <w:szCs w:val="24"/>
                <w:lang w:eastAsia="en-US"/>
              </w:rPr>
              <w:t xml:space="preserve">.12. </w:t>
            </w:r>
            <w:r w:rsidRPr="003B1460">
              <w:rPr>
                <w:color w:val="000000" w:themeColor="text1"/>
                <w:sz w:val="24"/>
                <w:szCs w:val="24"/>
                <w:lang w:eastAsia="en-US"/>
              </w:rPr>
              <w:t>2025 р. №1225</w:t>
            </w:r>
          </w:p>
        </w:tc>
      </w:tr>
    </w:tbl>
    <w:p w14:paraId="58311293" w14:textId="77777777" w:rsidR="007A5B9A" w:rsidRPr="003B1460" w:rsidRDefault="007A5B9A" w:rsidP="00C16891">
      <w:pPr>
        <w:widowControl w:val="0"/>
        <w:spacing w:line="240" w:lineRule="auto"/>
        <w:rPr>
          <w:rFonts w:eastAsia="Times New Roman"/>
          <w:b/>
          <w:color w:val="000000" w:themeColor="text1"/>
          <w:sz w:val="28"/>
          <w:szCs w:val="28"/>
        </w:rPr>
      </w:pPr>
    </w:p>
    <w:p w14:paraId="04DFEDA1" w14:textId="77777777" w:rsidR="00EE6C94" w:rsidRPr="003B1460" w:rsidRDefault="00EE6C94" w:rsidP="00C16891">
      <w:pPr>
        <w:pStyle w:val="a6"/>
        <w:spacing w:before="0" w:beforeAutospacing="0" w:after="0" w:afterAutospacing="0"/>
        <w:rPr>
          <w:b/>
        </w:rPr>
      </w:pPr>
    </w:p>
    <w:p w14:paraId="1DABF85B" w14:textId="77777777" w:rsidR="00EE6C94" w:rsidRPr="003B1460" w:rsidRDefault="00934339" w:rsidP="00C16891">
      <w:pPr>
        <w:spacing w:line="240" w:lineRule="auto"/>
        <w:ind w:firstLine="200"/>
        <w:jc w:val="right"/>
      </w:pPr>
      <w:r w:rsidRPr="003B1460">
        <w:rPr>
          <w:b/>
        </w:rPr>
        <w:t xml:space="preserve"> </w:t>
      </w:r>
    </w:p>
    <w:p w14:paraId="69637DBE" w14:textId="77777777" w:rsidR="00EE6C94" w:rsidRPr="003B1460" w:rsidRDefault="00934339" w:rsidP="00C16891">
      <w:pPr>
        <w:spacing w:line="240" w:lineRule="auto"/>
        <w:jc w:val="center"/>
        <w:rPr>
          <w:b/>
          <w:sz w:val="28"/>
        </w:rPr>
      </w:pPr>
      <w:r w:rsidRPr="003B1460">
        <w:rPr>
          <w:b/>
          <w:sz w:val="28"/>
        </w:rPr>
        <w:t xml:space="preserve">Програма забезпечення жителів територіальної громади, </w:t>
      </w:r>
    </w:p>
    <w:p w14:paraId="28DBD531" w14:textId="77777777" w:rsidR="00EE6C94" w:rsidRPr="003B1460" w:rsidRDefault="00934339" w:rsidP="00C16891">
      <w:pPr>
        <w:spacing w:line="240" w:lineRule="auto"/>
        <w:jc w:val="center"/>
        <w:rPr>
          <w:sz w:val="28"/>
        </w:rPr>
      </w:pPr>
      <w:r w:rsidRPr="003B1460">
        <w:rPr>
          <w:b/>
          <w:sz w:val="28"/>
        </w:rPr>
        <w:t>які страждають на рідкісні (</w:t>
      </w:r>
      <w:proofErr w:type="spellStart"/>
      <w:r w:rsidRPr="003B1460">
        <w:rPr>
          <w:b/>
          <w:sz w:val="28"/>
        </w:rPr>
        <w:t>орфанні</w:t>
      </w:r>
      <w:proofErr w:type="spellEnd"/>
      <w:r w:rsidRPr="003B1460">
        <w:rPr>
          <w:b/>
          <w:sz w:val="28"/>
        </w:rPr>
        <w:t>) захворювання, лікарськими засобами та відповідними харчовими продуктами для спеціального дієтичного споживання на 2026 – 2027 роки</w:t>
      </w:r>
      <w:r w:rsidRPr="003B1460">
        <w:rPr>
          <w:sz w:val="28"/>
        </w:rPr>
        <w:t xml:space="preserve"> </w:t>
      </w:r>
    </w:p>
    <w:p w14:paraId="148E733F" w14:textId="77777777" w:rsidR="00EE6C94" w:rsidRPr="003B1460" w:rsidRDefault="00EE6C94" w:rsidP="00C16891">
      <w:pPr>
        <w:spacing w:line="240" w:lineRule="auto"/>
        <w:rPr>
          <w:b/>
          <w:sz w:val="28"/>
        </w:rPr>
      </w:pPr>
    </w:p>
    <w:p w14:paraId="37E80570" w14:textId="77777777" w:rsidR="00EE6C94" w:rsidRPr="003B1460" w:rsidRDefault="00934339" w:rsidP="00C16891">
      <w:pPr>
        <w:spacing w:line="240" w:lineRule="auto"/>
        <w:jc w:val="center"/>
        <w:rPr>
          <w:b/>
          <w:sz w:val="28"/>
          <w:szCs w:val="28"/>
        </w:rPr>
      </w:pPr>
      <w:r w:rsidRPr="003B1460">
        <w:rPr>
          <w:b/>
          <w:sz w:val="28"/>
          <w:szCs w:val="28"/>
        </w:rPr>
        <w:t>1. Визначення проблеми, на розв'язання якої спрямовано Програму</w:t>
      </w:r>
    </w:p>
    <w:p w14:paraId="5B257373" w14:textId="77777777" w:rsidR="00EE6C94" w:rsidRPr="003B1460" w:rsidRDefault="00EE6C94" w:rsidP="00C16891">
      <w:pPr>
        <w:spacing w:line="240" w:lineRule="auto"/>
        <w:rPr>
          <w:b/>
          <w:i/>
          <w:sz w:val="28"/>
          <w:szCs w:val="28"/>
        </w:rPr>
      </w:pPr>
    </w:p>
    <w:p w14:paraId="46CAF3D8" w14:textId="77777777" w:rsidR="00EE6C94" w:rsidRPr="003B1460" w:rsidRDefault="00934339" w:rsidP="00C16891">
      <w:pPr>
        <w:spacing w:line="240" w:lineRule="auto"/>
        <w:ind w:firstLine="708"/>
        <w:jc w:val="both"/>
        <w:rPr>
          <w:sz w:val="28"/>
          <w:szCs w:val="28"/>
        </w:rPr>
      </w:pPr>
      <w:r w:rsidRPr="003B1460">
        <w:rPr>
          <w:b/>
          <w:sz w:val="28"/>
          <w:szCs w:val="28"/>
        </w:rPr>
        <w:t>«Рідкісні захворювання» (РЗ)</w:t>
      </w:r>
      <w:r w:rsidRPr="003B1460">
        <w:rPr>
          <w:sz w:val="28"/>
          <w:szCs w:val="28"/>
        </w:rPr>
        <w:t xml:space="preserve"> – це захворювання, які зустрічаються з певною частотою, несуть на собі загрозу для життя або </w:t>
      </w:r>
      <w:proofErr w:type="spellStart"/>
      <w:r w:rsidRPr="003B1460">
        <w:rPr>
          <w:sz w:val="28"/>
          <w:szCs w:val="28"/>
        </w:rPr>
        <w:t>хронізацію</w:t>
      </w:r>
      <w:proofErr w:type="spellEnd"/>
      <w:r w:rsidRPr="003B1460">
        <w:rPr>
          <w:sz w:val="28"/>
          <w:szCs w:val="28"/>
        </w:rPr>
        <w:t xml:space="preserve"> прогресуючого захворювання, без лікування – ці захворювання призводять до смерті або до </w:t>
      </w:r>
      <w:proofErr w:type="spellStart"/>
      <w:r w:rsidRPr="003B1460">
        <w:rPr>
          <w:sz w:val="28"/>
          <w:szCs w:val="28"/>
        </w:rPr>
        <w:t>інвалідізації</w:t>
      </w:r>
      <w:proofErr w:type="spellEnd"/>
      <w:r w:rsidRPr="003B1460">
        <w:rPr>
          <w:sz w:val="28"/>
          <w:szCs w:val="28"/>
        </w:rPr>
        <w:t xml:space="preserve"> хворого. Ці захворювання мають поширеність серед населення 1:2000 (за даними Великої Британії та інших країн ЄС та України). Задля лікування РЗ у світі розробляються ліки.</w:t>
      </w:r>
    </w:p>
    <w:p w14:paraId="72F982FA" w14:textId="77777777" w:rsidR="00EE6C94" w:rsidRPr="003B1460" w:rsidRDefault="00934339" w:rsidP="00C16891">
      <w:pPr>
        <w:spacing w:line="240" w:lineRule="auto"/>
        <w:ind w:firstLine="708"/>
        <w:jc w:val="both"/>
        <w:rPr>
          <w:sz w:val="28"/>
          <w:szCs w:val="28"/>
        </w:rPr>
      </w:pPr>
      <w:r w:rsidRPr="003B1460">
        <w:rPr>
          <w:sz w:val="28"/>
          <w:szCs w:val="28"/>
        </w:rPr>
        <w:t>Ліки, які рідко використовуються (</w:t>
      </w:r>
      <w:proofErr w:type="spellStart"/>
      <w:r w:rsidRPr="003B1460">
        <w:rPr>
          <w:sz w:val="28"/>
          <w:szCs w:val="28"/>
        </w:rPr>
        <w:t>орфанні</w:t>
      </w:r>
      <w:proofErr w:type="spellEnd"/>
      <w:r w:rsidRPr="003B1460">
        <w:rPr>
          <w:sz w:val="28"/>
          <w:szCs w:val="28"/>
        </w:rPr>
        <w:t xml:space="preserve"> або сирітські препарати) – це такі лікувальні засоби (фармацевтичні, біологічні препарати, лікувальне харчування), які призначені для лікування та профілактики рідкісного захворювання.</w:t>
      </w:r>
    </w:p>
    <w:p w14:paraId="6922A508" w14:textId="77777777" w:rsidR="00EE6C94" w:rsidRPr="003B1460" w:rsidRDefault="00934339" w:rsidP="00C16891">
      <w:pPr>
        <w:spacing w:line="240" w:lineRule="auto"/>
        <w:ind w:firstLine="708"/>
        <w:jc w:val="both"/>
        <w:rPr>
          <w:sz w:val="28"/>
          <w:szCs w:val="28"/>
        </w:rPr>
      </w:pPr>
      <w:r w:rsidRPr="003B1460">
        <w:rPr>
          <w:sz w:val="28"/>
          <w:szCs w:val="28"/>
        </w:rPr>
        <w:t xml:space="preserve">За даними EURORDIS (Європейського альянсу організацій хворих рідкісними захворюваннями) дві третини рідкісних захворювань маніфестують у ранньому дитячому віці, в 65% випадків мають важкий </w:t>
      </w:r>
      <w:proofErr w:type="spellStart"/>
      <w:r w:rsidRPr="003B1460">
        <w:rPr>
          <w:sz w:val="28"/>
          <w:szCs w:val="28"/>
        </w:rPr>
        <w:t>інвалідизуючий</w:t>
      </w:r>
      <w:proofErr w:type="spellEnd"/>
      <w:r w:rsidRPr="003B1460">
        <w:rPr>
          <w:sz w:val="28"/>
          <w:szCs w:val="28"/>
        </w:rPr>
        <w:t xml:space="preserve"> плин, в 50% – погіршений прогноз для життя, в 35% випадках є причиною смерті на протязі 1-го року життя, в 10% – у віці 1-5 років, в 12% – у віці 5-15 років.</w:t>
      </w:r>
    </w:p>
    <w:p w14:paraId="7122199E" w14:textId="77777777" w:rsidR="00EE6C94" w:rsidRPr="003B1460" w:rsidRDefault="00934339" w:rsidP="00C16891">
      <w:pPr>
        <w:spacing w:line="240" w:lineRule="auto"/>
        <w:ind w:firstLine="708"/>
        <w:jc w:val="both"/>
        <w:rPr>
          <w:sz w:val="28"/>
          <w:szCs w:val="28"/>
        </w:rPr>
      </w:pPr>
      <w:r w:rsidRPr="003B1460">
        <w:rPr>
          <w:sz w:val="28"/>
          <w:szCs w:val="28"/>
        </w:rPr>
        <w:t>Встановлено, що рідкісні (</w:t>
      </w:r>
      <w:proofErr w:type="spellStart"/>
      <w:r w:rsidRPr="003B1460">
        <w:rPr>
          <w:sz w:val="28"/>
          <w:szCs w:val="28"/>
        </w:rPr>
        <w:t>орфанні</w:t>
      </w:r>
      <w:proofErr w:type="spellEnd"/>
      <w:r w:rsidRPr="003B1460">
        <w:rPr>
          <w:sz w:val="28"/>
          <w:szCs w:val="28"/>
        </w:rPr>
        <w:t>) захворювання у 80% обумовлені генетичними причинами. Інші рідкісні (</w:t>
      </w:r>
      <w:proofErr w:type="spellStart"/>
      <w:r w:rsidRPr="003B1460">
        <w:rPr>
          <w:sz w:val="28"/>
          <w:szCs w:val="28"/>
        </w:rPr>
        <w:t>орфанні</w:t>
      </w:r>
      <w:proofErr w:type="spellEnd"/>
      <w:r w:rsidRPr="003B1460">
        <w:rPr>
          <w:sz w:val="28"/>
          <w:szCs w:val="28"/>
        </w:rPr>
        <w:t xml:space="preserve">) захворювання є результатом інфекційних уражень, алергії і дії </w:t>
      </w:r>
      <w:proofErr w:type="spellStart"/>
      <w:r w:rsidRPr="003B1460">
        <w:rPr>
          <w:sz w:val="28"/>
          <w:szCs w:val="28"/>
        </w:rPr>
        <w:t>зовньосередевих</w:t>
      </w:r>
      <w:proofErr w:type="spellEnd"/>
      <w:r w:rsidRPr="003B1460">
        <w:rPr>
          <w:sz w:val="28"/>
          <w:szCs w:val="28"/>
        </w:rPr>
        <w:t xml:space="preserve"> чинників. Ця група захворювань має важкий, хронічний, прогресуючий перебіг, супроводжується формуванням дегенеративних змін в організмі. </w:t>
      </w:r>
    </w:p>
    <w:p w14:paraId="443DA9F3" w14:textId="441AA37C" w:rsidR="00EE6C94" w:rsidRPr="003B1460" w:rsidRDefault="00934339" w:rsidP="00C16891">
      <w:pPr>
        <w:spacing w:line="240" w:lineRule="auto"/>
        <w:ind w:firstLine="708"/>
        <w:jc w:val="both"/>
        <w:rPr>
          <w:sz w:val="28"/>
          <w:szCs w:val="28"/>
        </w:rPr>
      </w:pPr>
      <w:r w:rsidRPr="003B1460">
        <w:rPr>
          <w:sz w:val="28"/>
          <w:szCs w:val="28"/>
        </w:rPr>
        <w:t xml:space="preserve">Значна кількість РЗ (хвороби накопичення, в тому числі: </w:t>
      </w:r>
      <w:proofErr w:type="spellStart"/>
      <w:r w:rsidRPr="003B1460">
        <w:rPr>
          <w:sz w:val="28"/>
          <w:szCs w:val="28"/>
        </w:rPr>
        <w:t>мукополіса</w:t>
      </w:r>
      <w:r w:rsidR="008D39F5" w:rsidRPr="003B1460">
        <w:rPr>
          <w:sz w:val="28"/>
          <w:szCs w:val="28"/>
        </w:rPr>
        <w:t>харидози</w:t>
      </w:r>
      <w:proofErr w:type="spellEnd"/>
      <w:r w:rsidR="008D39F5" w:rsidRPr="003B1460">
        <w:rPr>
          <w:sz w:val="28"/>
          <w:szCs w:val="28"/>
        </w:rPr>
        <w:t xml:space="preserve">, </w:t>
      </w:r>
      <w:proofErr w:type="spellStart"/>
      <w:r w:rsidR="008D39F5" w:rsidRPr="003B1460">
        <w:rPr>
          <w:sz w:val="28"/>
          <w:szCs w:val="28"/>
        </w:rPr>
        <w:t>нейродегенеративних</w:t>
      </w:r>
      <w:proofErr w:type="spellEnd"/>
      <w:r w:rsidR="008D39F5" w:rsidRPr="003B1460">
        <w:rPr>
          <w:sz w:val="28"/>
          <w:szCs w:val="28"/>
        </w:rPr>
        <w:t xml:space="preserve"> за</w:t>
      </w:r>
      <w:r w:rsidRPr="003B1460">
        <w:rPr>
          <w:sz w:val="28"/>
          <w:szCs w:val="28"/>
        </w:rPr>
        <w:t xml:space="preserve">хворювань, хвороба </w:t>
      </w:r>
      <w:proofErr w:type="spellStart"/>
      <w:r w:rsidRPr="003B1460">
        <w:rPr>
          <w:sz w:val="28"/>
          <w:szCs w:val="28"/>
        </w:rPr>
        <w:t>Гоше</w:t>
      </w:r>
      <w:proofErr w:type="spellEnd"/>
      <w:r w:rsidRPr="003B1460">
        <w:rPr>
          <w:sz w:val="28"/>
          <w:szCs w:val="28"/>
        </w:rPr>
        <w:t xml:space="preserve">, хвороба </w:t>
      </w:r>
      <w:proofErr w:type="spellStart"/>
      <w:r w:rsidRPr="003B1460">
        <w:rPr>
          <w:sz w:val="28"/>
          <w:szCs w:val="28"/>
        </w:rPr>
        <w:t>Помпе</w:t>
      </w:r>
      <w:proofErr w:type="spellEnd"/>
      <w:r w:rsidRPr="003B1460">
        <w:rPr>
          <w:sz w:val="28"/>
          <w:szCs w:val="28"/>
        </w:rPr>
        <w:t xml:space="preserve">; </w:t>
      </w:r>
      <w:proofErr w:type="spellStart"/>
      <w:r w:rsidRPr="003B1460">
        <w:rPr>
          <w:sz w:val="28"/>
          <w:szCs w:val="28"/>
        </w:rPr>
        <w:t>мітохондріальні</w:t>
      </w:r>
      <w:proofErr w:type="spellEnd"/>
      <w:r w:rsidRPr="003B1460">
        <w:rPr>
          <w:sz w:val="28"/>
          <w:szCs w:val="28"/>
        </w:rPr>
        <w:t xml:space="preserve"> хвороби, епігенетичні хвороби, </w:t>
      </w:r>
      <w:proofErr w:type="spellStart"/>
      <w:r w:rsidRPr="003B1460">
        <w:rPr>
          <w:sz w:val="28"/>
          <w:szCs w:val="28"/>
        </w:rPr>
        <w:t>онкогенетичні</w:t>
      </w:r>
      <w:proofErr w:type="spellEnd"/>
      <w:r w:rsidRPr="003B1460">
        <w:rPr>
          <w:sz w:val="28"/>
          <w:szCs w:val="28"/>
        </w:rPr>
        <w:t xml:space="preserve"> синдроми; нервово-м’язові хвороби (</w:t>
      </w:r>
      <w:proofErr w:type="spellStart"/>
      <w:r w:rsidRPr="003B1460">
        <w:rPr>
          <w:sz w:val="28"/>
          <w:szCs w:val="28"/>
        </w:rPr>
        <w:t>спінальна</w:t>
      </w:r>
      <w:proofErr w:type="spellEnd"/>
      <w:r w:rsidRPr="003B1460">
        <w:rPr>
          <w:sz w:val="28"/>
          <w:szCs w:val="28"/>
        </w:rPr>
        <w:t xml:space="preserve"> м’язова атрофія, м’язова дистрофія); </w:t>
      </w:r>
      <w:proofErr w:type="spellStart"/>
      <w:r w:rsidRPr="003B1460">
        <w:rPr>
          <w:sz w:val="28"/>
          <w:szCs w:val="28"/>
        </w:rPr>
        <w:t>муковісцидоз</w:t>
      </w:r>
      <w:proofErr w:type="spellEnd"/>
      <w:r w:rsidRPr="003B1460">
        <w:rPr>
          <w:sz w:val="28"/>
          <w:szCs w:val="28"/>
        </w:rPr>
        <w:t xml:space="preserve">; органічні </w:t>
      </w:r>
      <w:proofErr w:type="spellStart"/>
      <w:r w:rsidRPr="003B1460">
        <w:rPr>
          <w:sz w:val="28"/>
          <w:szCs w:val="28"/>
        </w:rPr>
        <w:t>ацидурії</w:t>
      </w:r>
      <w:proofErr w:type="spellEnd"/>
      <w:r w:rsidRPr="003B1460">
        <w:rPr>
          <w:sz w:val="28"/>
          <w:szCs w:val="28"/>
        </w:rPr>
        <w:t xml:space="preserve">; </w:t>
      </w:r>
      <w:proofErr w:type="spellStart"/>
      <w:r w:rsidRPr="003B1460">
        <w:rPr>
          <w:sz w:val="28"/>
          <w:szCs w:val="28"/>
        </w:rPr>
        <w:t>мітохондріальні</w:t>
      </w:r>
      <w:proofErr w:type="spellEnd"/>
      <w:r w:rsidRPr="003B1460">
        <w:rPr>
          <w:sz w:val="28"/>
          <w:szCs w:val="28"/>
        </w:rPr>
        <w:t xml:space="preserve"> хвороби, епігенетичні хвороби, </w:t>
      </w:r>
      <w:proofErr w:type="spellStart"/>
      <w:r w:rsidRPr="003B1460">
        <w:rPr>
          <w:sz w:val="28"/>
          <w:szCs w:val="28"/>
        </w:rPr>
        <w:t>онкогенетичні</w:t>
      </w:r>
      <w:proofErr w:type="spellEnd"/>
      <w:r w:rsidRPr="003B1460">
        <w:rPr>
          <w:sz w:val="28"/>
          <w:szCs w:val="28"/>
        </w:rPr>
        <w:t xml:space="preserve"> синдроми, порушення окислення жирних кислот), </w:t>
      </w:r>
      <w:proofErr w:type="spellStart"/>
      <w:r w:rsidRPr="003B1460">
        <w:rPr>
          <w:sz w:val="28"/>
          <w:szCs w:val="28"/>
        </w:rPr>
        <w:t>фенілкетонурія</w:t>
      </w:r>
      <w:proofErr w:type="spellEnd"/>
      <w:r w:rsidRPr="003B1460">
        <w:rPr>
          <w:sz w:val="28"/>
          <w:szCs w:val="28"/>
        </w:rPr>
        <w:t xml:space="preserve">, що раніше вважалися </w:t>
      </w:r>
      <w:proofErr w:type="spellStart"/>
      <w:r w:rsidRPr="003B1460">
        <w:rPr>
          <w:sz w:val="28"/>
          <w:szCs w:val="28"/>
        </w:rPr>
        <w:t>некурабельними</w:t>
      </w:r>
      <w:proofErr w:type="spellEnd"/>
      <w:r w:rsidRPr="003B1460">
        <w:rPr>
          <w:sz w:val="28"/>
          <w:szCs w:val="28"/>
        </w:rPr>
        <w:t xml:space="preserve">, сьогодні успішно лікуються. Навіть ті форми, які раніше вважалися </w:t>
      </w:r>
      <w:proofErr w:type="spellStart"/>
      <w:r w:rsidRPr="003B1460">
        <w:rPr>
          <w:sz w:val="28"/>
          <w:szCs w:val="28"/>
        </w:rPr>
        <w:t>сублетальними</w:t>
      </w:r>
      <w:proofErr w:type="spellEnd"/>
      <w:r w:rsidRPr="003B1460">
        <w:rPr>
          <w:sz w:val="28"/>
          <w:szCs w:val="28"/>
        </w:rPr>
        <w:t xml:space="preserve"> і летальними, при ранньому виявленні можуть піддаватися корекції з повною або частковою реабілітацією хворих. Це дозволяє повернути в суспільство фізично і соціально адаптованих, працездатних людей. </w:t>
      </w:r>
    </w:p>
    <w:p w14:paraId="0CADAA52" w14:textId="1D0147FA" w:rsidR="00EE6C94" w:rsidRPr="003B1460" w:rsidRDefault="00934339" w:rsidP="00C16891">
      <w:pPr>
        <w:spacing w:line="240" w:lineRule="auto"/>
        <w:ind w:firstLine="360"/>
        <w:jc w:val="both"/>
        <w:rPr>
          <w:sz w:val="28"/>
          <w:szCs w:val="28"/>
        </w:rPr>
      </w:pPr>
      <w:r w:rsidRPr="003B1460">
        <w:rPr>
          <w:sz w:val="28"/>
          <w:szCs w:val="28"/>
        </w:rPr>
        <w:lastRenderedPageBreak/>
        <w:t xml:space="preserve">РЗ характеризуються раннім початком, прогресуючим перебігом і високою частотою летальності у дитячому віці. Лікування РЗ і </w:t>
      </w:r>
      <w:r w:rsidR="003B1460" w:rsidRPr="003B1460">
        <w:rPr>
          <w:sz w:val="28"/>
          <w:szCs w:val="28"/>
        </w:rPr>
        <w:t>профілактика</w:t>
      </w:r>
      <w:r w:rsidRPr="003B1460">
        <w:rPr>
          <w:sz w:val="28"/>
          <w:szCs w:val="28"/>
        </w:rPr>
        <w:t xml:space="preserve"> їх важких ускладнень є однією з найважливіших проблем клінічної генетики і педіатрії. Основна роль в корекції спадкових метаболічних порушень відводиться замісній ферментній терапії, патогенетичним засобам корекції, дієтотерапії. Своєчасно розпочате лікування дозволяє запобігти важкому ураженню центральної нервової системи та інших органів і соціально адаптувати хворого.</w:t>
      </w:r>
    </w:p>
    <w:p w14:paraId="7D6BB37F" w14:textId="77777777" w:rsidR="00EE6C94" w:rsidRPr="003B1460" w:rsidRDefault="00EE6C94" w:rsidP="00C16891">
      <w:pPr>
        <w:spacing w:line="240" w:lineRule="auto"/>
        <w:ind w:firstLine="360"/>
        <w:jc w:val="both"/>
        <w:rPr>
          <w:sz w:val="28"/>
          <w:szCs w:val="28"/>
        </w:rPr>
      </w:pPr>
    </w:p>
    <w:p w14:paraId="27D219AE" w14:textId="77777777" w:rsidR="00EE6C94" w:rsidRPr="003B1460" w:rsidRDefault="00934339" w:rsidP="00C16891">
      <w:pPr>
        <w:numPr>
          <w:ilvl w:val="0"/>
          <w:numId w:val="1"/>
        </w:numPr>
        <w:spacing w:line="240" w:lineRule="auto"/>
        <w:ind w:left="0"/>
        <w:jc w:val="center"/>
        <w:rPr>
          <w:b/>
          <w:sz w:val="28"/>
          <w:szCs w:val="28"/>
        </w:rPr>
      </w:pPr>
      <w:r w:rsidRPr="003B1460">
        <w:rPr>
          <w:b/>
          <w:sz w:val="28"/>
          <w:szCs w:val="28"/>
        </w:rPr>
        <w:t>Визначення мети  Програми</w:t>
      </w:r>
    </w:p>
    <w:p w14:paraId="422FFC81" w14:textId="77777777" w:rsidR="00EE6C94" w:rsidRPr="003B1460" w:rsidRDefault="00EE6C94" w:rsidP="00C16891">
      <w:pPr>
        <w:spacing w:line="240" w:lineRule="auto"/>
        <w:jc w:val="both"/>
        <w:rPr>
          <w:sz w:val="28"/>
          <w:szCs w:val="28"/>
        </w:rPr>
      </w:pPr>
    </w:p>
    <w:p w14:paraId="45F6C7F7" w14:textId="77777777" w:rsidR="00EE6C94" w:rsidRPr="003B1460" w:rsidRDefault="00934339" w:rsidP="00C16891">
      <w:pPr>
        <w:spacing w:line="240" w:lineRule="auto"/>
        <w:ind w:firstLine="600"/>
        <w:jc w:val="both"/>
        <w:rPr>
          <w:sz w:val="28"/>
          <w:szCs w:val="28"/>
        </w:rPr>
      </w:pPr>
      <w:r w:rsidRPr="003B1460">
        <w:rPr>
          <w:sz w:val="28"/>
          <w:szCs w:val="28"/>
        </w:rPr>
        <w:t>Забезпечити за рахунок бюджетних коштів вдосконалення системи ранньої діагностики РЗ, якісного диспансерного спостереження, сучасного комплексного лікування і реабілітації хворих та  проведення пренатальної діагностики, що призведе до зниження рівня смертності, уповільнення прогресування захворювань, подовження тривалості та  покращення якості життя хворих.</w:t>
      </w:r>
    </w:p>
    <w:p w14:paraId="2762262C" w14:textId="77777777" w:rsidR="00EE6C94" w:rsidRPr="003B1460" w:rsidRDefault="00934339" w:rsidP="00C16891">
      <w:pPr>
        <w:spacing w:line="240" w:lineRule="auto"/>
        <w:ind w:firstLine="600"/>
        <w:jc w:val="both"/>
        <w:rPr>
          <w:sz w:val="28"/>
          <w:szCs w:val="28"/>
        </w:rPr>
      </w:pPr>
      <w:r w:rsidRPr="003B1460">
        <w:rPr>
          <w:sz w:val="28"/>
          <w:szCs w:val="28"/>
        </w:rPr>
        <w:t xml:space="preserve"> </w:t>
      </w:r>
    </w:p>
    <w:p w14:paraId="7B5F3ED9" w14:textId="77777777" w:rsidR="00EE6C94" w:rsidRPr="003B1460" w:rsidRDefault="00934339" w:rsidP="00C16891">
      <w:pPr>
        <w:numPr>
          <w:ilvl w:val="0"/>
          <w:numId w:val="1"/>
        </w:numPr>
        <w:spacing w:line="240" w:lineRule="auto"/>
        <w:ind w:left="0" w:firstLine="273"/>
        <w:jc w:val="center"/>
        <w:rPr>
          <w:b/>
          <w:sz w:val="28"/>
          <w:szCs w:val="28"/>
        </w:rPr>
      </w:pPr>
      <w:r w:rsidRPr="003B1460">
        <w:rPr>
          <w:b/>
          <w:sz w:val="28"/>
          <w:szCs w:val="28"/>
        </w:rPr>
        <w:t>Обґрунтування шляхів та засобів розв’язання проблеми, обсягів та джерел фінансування</w:t>
      </w:r>
    </w:p>
    <w:p w14:paraId="0FFAF502" w14:textId="77777777" w:rsidR="00EE6C94" w:rsidRPr="003B1460" w:rsidRDefault="00EE6C94" w:rsidP="00C16891">
      <w:pPr>
        <w:spacing w:line="240" w:lineRule="auto"/>
        <w:ind w:firstLine="709"/>
        <w:jc w:val="both"/>
        <w:rPr>
          <w:sz w:val="28"/>
          <w:szCs w:val="28"/>
        </w:rPr>
      </w:pPr>
    </w:p>
    <w:p w14:paraId="2996100A" w14:textId="77777777" w:rsidR="00EE6C94" w:rsidRPr="003B1460" w:rsidRDefault="00934339" w:rsidP="00C16891">
      <w:pPr>
        <w:spacing w:line="240" w:lineRule="auto"/>
        <w:ind w:firstLine="709"/>
        <w:jc w:val="both"/>
        <w:rPr>
          <w:sz w:val="28"/>
          <w:szCs w:val="28"/>
        </w:rPr>
      </w:pPr>
      <w:r w:rsidRPr="003B1460">
        <w:rPr>
          <w:sz w:val="28"/>
          <w:szCs w:val="28"/>
        </w:rPr>
        <w:t xml:space="preserve">На сьогоднішній день особливо гостро стоїть проблема забезпечення хворих лікувальними засобами. </w:t>
      </w:r>
      <w:proofErr w:type="spellStart"/>
      <w:r w:rsidRPr="003B1460">
        <w:rPr>
          <w:sz w:val="28"/>
          <w:szCs w:val="28"/>
        </w:rPr>
        <w:t>Орфанні</w:t>
      </w:r>
      <w:proofErr w:type="spellEnd"/>
      <w:r w:rsidRPr="003B1460">
        <w:rPr>
          <w:sz w:val="28"/>
          <w:szCs w:val="28"/>
        </w:rPr>
        <w:t xml:space="preserve"> препарати, що використовуються для лікування РЗ, як правило, є високовартісними, тому надважливого значення в менеджменті цих захворювань набуває своєчасна нозологічна діагностика, проведена згідно з принципами доказової медицини.</w:t>
      </w:r>
    </w:p>
    <w:p w14:paraId="7CF21FF4" w14:textId="77777777" w:rsidR="00EE6C94" w:rsidRPr="003B1460" w:rsidRDefault="00934339" w:rsidP="00C16891">
      <w:pPr>
        <w:spacing w:line="240" w:lineRule="auto"/>
        <w:ind w:firstLine="709"/>
        <w:jc w:val="both"/>
        <w:rPr>
          <w:sz w:val="28"/>
          <w:szCs w:val="28"/>
        </w:rPr>
      </w:pPr>
      <w:r w:rsidRPr="003B1460">
        <w:rPr>
          <w:sz w:val="28"/>
          <w:szCs w:val="28"/>
        </w:rPr>
        <w:t>РЗ представляють собою широкий спектр захворювань, які варіюють у маніфестації та менеджменті залежно від ступеня ураження органів і систем. Але вони мають спільні особливості менеджменту:</w:t>
      </w:r>
    </w:p>
    <w:p w14:paraId="6FC0C90D" w14:textId="77777777" w:rsidR="00EE6C94" w:rsidRPr="003B1460" w:rsidRDefault="00934339" w:rsidP="00C16891">
      <w:pPr>
        <w:spacing w:line="240" w:lineRule="auto"/>
        <w:ind w:firstLine="709"/>
        <w:jc w:val="both"/>
        <w:rPr>
          <w:sz w:val="28"/>
          <w:szCs w:val="28"/>
        </w:rPr>
      </w:pPr>
      <w:r w:rsidRPr="003B1460">
        <w:rPr>
          <w:sz w:val="28"/>
          <w:szCs w:val="28"/>
        </w:rPr>
        <w:t xml:space="preserve">РЗ потребують широкого набору спеціальних біохімічних, </w:t>
      </w:r>
      <w:proofErr w:type="spellStart"/>
      <w:r w:rsidRPr="003B1460">
        <w:rPr>
          <w:sz w:val="28"/>
          <w:szCs w:val="28"/>
        </w:rPr>
        <w:t>цитогенетичних</w:t>
      </w:r>
      <w:proofErr w:type="spellEnd"/>
      <w:r w:rsidRPr="003B1460">
        <w:rPr>
          <w:sz w:val="28"/>
          <w:szCs w:val="28"/>
        </w:rPr>
        <w:t xml:space="preserve">, молекулярних тестів, </w:t>
      </w:r>
      <w:proofErr w:type="spellStart"/>
      <w:r w:rsidRPr="003B1460">
        <w:rPr>
          <w:sz w:val="28"/>
          <w:szCs w:val="28"/>
        </w:rPr>
        <w:t>електро-фізіологічних</w:t>
      </w:r>
      <w:proofErr w:type="spellEnd"/>
      <w:r w:rsidRPr="003B1460">
        <w:rPr>
          <w:sz w:val="28"/>
          <w:szCs w:val="28"/>
        </w:rPr>
        <w:t>, ультразвукових та комп’ютерних методів діагностики та клінічного моніторингу.</w:t>
      </w:r>
    </w:p>
    <w:p w14:paraId="51EDE9D6" w14:textId="77777777" w:rsidR="00EE6C94" w:rsidRPr="003B1460" w:rsidRDefault="00934339" w:rsidP="00C16891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8"/>
          <w:szCs w:val="28"/>
          <w:lang w:eastAsia="en-US"/>
        </w:rPr>
      </w:pPr>
      <w:proofErr w:type="spellStart"/>
      <w:r w:rsidRPr="003B1460">
        <w:rPr>
          <w:b/>
          <w:color w:val="000000"/>
          <w:sz w:val="28"/>
          <w:szCs w:val="28"/>
          <w:lang w:eastAsia="en-US"/>
        </w:rPr>
        <w:t>Муковісцидоз</w:t>
      </w:r>
      <w:proofErr w:type="spellEnd"/>
      <w:r w:rsidRPr="003B1460">
        <w:rPr>
          <w:b/>
          <w:color w:val="000000"/>
          <w:sz w:val="28"/>
          <w:szCs w:val="28"/>
          <w:lang w:eastAsia="en-US"/>
        </w:rPr>
        <w:t xml:space="preserve"> (</w:t>
      </w:r>
      <w:proofErr w:type="spellStart"/>
      <w:r w:rsidRPr="003B1460">
        <w:rPr>
          <w:b/>
          <w:color w:val="000000"/>
          <w:sz w:val="28"/>
          <w:szCs w:val="28"/>
          <w:lang w:eastAsia="en-US"/>
        </w:rPr>
        <w:t>кистофіброз</w:t>
      </w:r>
      <w:proofErr w:type="spellEnd"/>
      <w:r w:rsidRPr="003B1460">
        <w:rPr>
          <w:b/>
          <w:color w:val="000000"/>
          <w:sz w:val="28"/>
          <w:szCs w:val="28"/>
          <w:lang w:eastAsia="en-US"/>
        </w:rPr>
        <w:t xml:space="preserve"> підшлункової залози)</w:t>
      </w:r>
      <w:r w:rsidRPr="003B1460">
        <w:rPr>
          <w:color w:val="000000"/>
          <w:sz w:val="28"/>
          <w:szCs w:val="28"/>
          <w:lang w:eastAsia="en-US"/>
        </w:rPr>
        <w:t xml:space="preserve"> – це найпоширеніше прогресуюче спадкове </w:t>
      </w:r>
      <w:proofErr w:type="spellStart"/>
      <w:r w:rsidRPr="003B1460">
        <w:rPr>
          <w:color w:val="000000"/>
          <w:sz w:val="28"/>
          <w:szCs w:val="28"/>
          <w:lang w:eastAsia="en-US"/>
        </w:rPr>
        <w:t>моногенне</w:t>
      </w:r>
      <w:proofErr w:type="spellEnd"/>
      <w:r w:rsidRPr="003B1460">
        <w:rPr>
          <w:color w:val="000000"/>
          <w:sz w:val="28"/>
          <w:szCs w:val="28"/>
          <w:lang w:eastAsia="en-US"/>
        </w:rPr>
        <w:t xml:space="preserve"> захворювання з </w:t>
      </w:r>
      <w:proofErr w:type="spellStart"/>
      <w:r w:rsidRPr="003B1460">
        <w:rPr>
          <w:color w:val="000000"/>
          <w:sz w:val="28"/>
          <w:szCs w:val="28"/>
          <w:lang w:eastAsia="en-US"/>
        </w:rPr>
        <w:t>аутосомно-рецесивним</w:t>
      </w:r>
      <w:proofErr w:type="spellEnd"/>
      <w:r w:rsidRPr="003B1460">
        <w:rPr>
          <w:color w:val="000000"/>
          <w:sz w:val="28"/>
          <w:szCs w:val="28"/>
          <w:lang w:eastAsia="en-US"/>
        </w:rPr>
        <w:t xml:space="preserve"> типом успадкування. Причиною захворювання є мутація гена, що кодує трансмембранний регуляторний білок  </w:t>
      </w:r>
      <w:proofErr w:type="spellStart"/>
      <w:r w:rsidRPr="003B1460">
        <w:rPr>
          <w:color w:val="000000"/>
          <w:sz w:val="28"/>
          <w:szCs w:val="28"/>
          <w:lang w:eastAsia="en-US"/>
        </w:rPr>
        <w:t>муковісцидозу</w:t>
      </w:r>
      <w:proofErr w:type="spellEnd"/>
      <w:r w:rsidRPr="003B1460">
        <w:rPr>
          <w:color w:val="000000"/>
          <w:sz w:val="28"/>
          <w:szCs w:val="28"/>
          <w:lang w:eastAsia="en-US"/>
        </w:rPr>
        <w:t xml:space="preserve"> (ТРБМ), який є каналом іонів хлору в мембранах епітеліальних клітин, регулятором інших іонних каналів і відповідає за транспортування бікарбонатів. Найбільш поширеною мутацією гена ТРБМ є F508del (≈66%). </w:t>
      </w:r>
      <w:r w:rsidRPr="003B1460">
        <w:rPr>
          <w:bCs/>
          <w:color w:val="000000"/>
          <w:sz w:val="28"/>
          <w:szCs w:val="28"/>
          <w:lang w:eastAsia="en-US"/>
        </w:rPr>
        <w:t xml:space="preserve">Цей білок регулює компоненти поту, травних соків, слизу. </w:t>
      </w:r>
      <w:r w:rsidRPr="003B1460">
        <w:rPr>
          <w:sz w:val="28"/>
          <w:szCs w:val="28"/>
          <w:shd w:val="clear" w:color="auto" w:fill="FFFFFF"/>
          <w:lang w:eastAsia="en-US"/>
        </w:rPr>
        <w:t>Мутації у гені ТРБМ призводять до порушення процесу секреції, внаслідок чого секрети залоз стають в'язкими і їх виділення ускладнюється. В результаті виникає</w:t>
      </w:r>
      <w:r w:rsidRPr="003B1460">
        <w:rPr>
          <w:bCs/>
          <w:sz w:val="28"/>
          <w:szCs w:val="28"/>
          <w:shd w:val="clear" w:color="auto" w:fill="FFFFFF"/>
          <w:lang w:eastAsia="en-US"/>
        </w:rPr>
        <w:t xml:space="preserve"> прогресуюче ураження дихальної системи, хронічні проблеми органів травлення</w:t>
      </w:r>
      <w:r w:rsidRPr="003B1460">
        <w:rPr>
          <w:sz w:val="28"/>
          <w:szCs w:val="28"/>
          <w:lang w:eastAsia="en-US"/>
        </w:rPr>
        <w:t>.</w:t>
      </w:r>
    </w:p>
    <w:p w14:paraId="2F30A929" w14:textId="77777777" w:rsidR="00EE6C94" w:rsidRPr="003B1460" w:rsidRDefault="00934339" w:rsidP="00C16891">
      <w:pPr>
        <w:autoSpaceDE w:val="0"/>
        <w:autoSpaceDN w:val="0"/>
        <w:adjustRightInd w:val="0"/>
        <w:spacing w:line="240" w:lineRule="auto"/>
        <w:jc w:val="both"/>
        <w:rPr>
          <w:sz w:val="28"/>
          <w:szCs w:val="28"/>
          <w:lang w:eastAsia="en-US"/>
        </w:rPr>
      </w:pPr>
      <w:r w:rsidRPr="003B1460">
        <w:rPr>
          <w:sz w:val="28"/>
          <w:szCs w:val="28"/>
          <w:lang w:eastAsia="en-US"/>
        </w:rPr>
        <w:tab/>
        <w:t xml:space="preserve">Лікування комплексне (замісна та антибактеріальна терапія), </w:t>
      </w:r>
      <w:proofErr w:type="spellStart"/>
      <w:r w:rsidRPr="003B1460">
        <w:rPr>
          <w:sz w:val="28"/>
          <w:szCs w:val="28"/>
          <w:lang w:eastAsia="en-US"/>
        </w:rPr>
        <w:t>пожиттєве</w:t>
      </w:r>
      <w:proofErr w:type="spellEnd"/>
      <w:r w:rsidRPr="003B1460">
        <w:rPr>
          <w:sz w:val="28"/>
          <w:szCs w:val="28"/>
          <w:lang w:eastAsia="en-US"/>
        </w:rPr>
        <w:t xml:space="preserve">, здійснюється командою лікарів. </w:t>
      </w:r>
    </w:p>
    <w:p w14:paraId="78D64B61" w14:textId="77777777" w:rsidR="00EE6C94" w:rsidRPr="003B1460" w:rsidRDefault="00934339" w:rsidP="00C16891">
      <w:pPr>
        <w:spacing w:line="240" w:lineRule="auto"/>
        <w:jc w:val="both"/>
        <w:rPr>
          <w:sz w:val="28"/>
          <w:szCs w:val="28"/>
          <w:shd w:val="clear" w:color="auto" w:fill="FFFFFF"/>
          <w:lang w:eastAsia="en-US"/>
        </w:rPr>
      </w:pPr>
      <w:r w:rsidRPr="003B1460">
        <w:rPr>
          <w:sz w:val="28"/>
          <w:szCs w:val="28"/>
        </w:rPr>
        <w:lastRenderedPageBreak/>
        <w:t xml:space="preserve"> </w:t>
      </w:r>
      <w:r w:rsidRPr="003B1460">
        <w:rPr>
          <w:sz w:val="28"/>
          <w:szCs w:val="28"/>
        </w:rPr>
        <w:tab/>
      </w:r>
      <w:proofErr w:type="spellStart"/>
      <w:r w:rsidRPr="003B1460">
        <w:rPr>
          <w:b/>
          <w:sz w:val="28"/>
          <w:szCs w:val="28"/>
          <w:shd w:val="clear" w:color="auto" w:fill="FFFFFF"/>
          <w:lang w:eastAsia="en-US"/>
        </w:rPr>
        <w:t>Генералізована</w:t>
      </w:r>
      <w:proofErr w:type="spellEnd"/>
      <w:r w:rsidRPr="003B1460">
        <w:rPr>
          <w:b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3B1460">
        <w:rPr>
          <w:b/>
          <w:sz w:val="28"/>
          <w:szCs w:val="28"/>
          <w:shd w:val="clear" w:color="auto" w:fill="FFFFFF"/>
          <w:lang w:eastAsia="en-US"/>
        </w:rPr>
        <w:t>ідіопатична</w:t>
      </w:r>
      <w:proofErr w:type="spellEnd"/>
      <w:r w:rsidRPr="003B1460">
        <w:rPr>
          <w:b/>
          <w:sz w:val="28"/>
          <w:szCs w:val="28"/>
          <w:shd w:val="clear" w:color="auto" w:fill="FFFFFF"/>
          <w:lang w:eastAsia="en-US"/>
        </w:rPr>
        <w:t xml:space="preserve"> епілепсія та епілептичні синдроми</w:t>
      </w:r>
      <w:r w:rsidRPr="003B1460">
        <w:rPr>
          <w:sz w:val="28"/>
          <w:szCs w:val="28"/>
          <w:shd w:val="clear" w:color="auto" w:fill="FFFFFF"/>
          <w:lang w:eastAsia="en-US"/>
        </w:rPr>
        <w:t xml:space="preserve"> -  це хронічне захворювання головного мозку, що характеризується повторними неспровокованими епілептичними нападами, причиною яких є надмірні нейронні розряди, та супроводжується іншими клінічними й </w:t>
      </w:r>
      <w:proofErr w:type="spellStart"/>
      <w:r w:rsidRPr="003B1460">
        <w:rPr>
          <w:sz w:val="28"/>
          <w:szCs w:val="28"/>
          <w:shd w:val="clear" w:color="auto" w:fill="FFFFFF"/>
          <w:lang w:eastAsia="en-US"/>
        </w:rPr>
        <w:t>параклінічними</w:t>
      </w:r>
      <w:proofErr w:type="spellEnd"/>
      <w:r w:rsidRPr="003B1460">
        <w:rPr>
          <w:sz w:val="28"/>
          <w:szCs w:val="28"/>
          <w:shd w:val="clear" w:color="auto" w:fill="FFFFFF"/>
          <w:lang w:eastAsia="en-US"/>
        </w:rPr>
        <w:t xml:space="preserve"> проявами, найбільш важливими з яких є психічні розлади та електроенцефалографічні (ЕЕГ) зміни.</w:t>
      </w:r>
    </w:p>
    <w:p w14:paraId="5016BF00" w14:textId="77777777" w:rsidR="00EE6C94" w:rsidRPr="003B1460" w:rsidRDefault="00934339" w:rsidP="00C16891">
      <w:pPr>
        <w:spacing w:line="240" w:lineRule="auto"/>
        <w:ind w:firstLine="708"/>
        <w:jc w:val="both"/>
        <w:rPr>
          <w:sz w:val="28"/>
          <w:szCs w:val="28"/>
          <w:shd w:val="clear" w:color="auto" w:fill="FFFFFF"/>
          <w:lang w:eastAsia="en-US"/>
        </w:rPr>
      </w:pPr>
      <w:r w:rsidRPr="003B1460">
        <w:rPr>
          <w:sz w:val="28"/>
          <w:szCs w:val="28"/>
          <w:shd w:val="clear" w:color="auto" w:fill="FFFFFF"/>
          <w:lang w:eastAsia="en-US"/>
        </w:rPr>
        <w:t xml:space="preserve">Ефективність лікування епілепсії оцінюється насамперед частотою нападів у пацієнтів. Логічною метою терапії захворювання є досягнення контролю нападів шляхом призначення одного або декількох </w:t>
      </w:r>
      <w:proofErr w:type="spellStart"/>
      <w:r w:rsidRPr="003B1460">
        <w:rPr>
          <w:sz w:val="28"/>
          <w:szCs w:val="28"/>
          <w:shd w:val="clear" w:color="auto" w:fill="FFFFFF"/>
          <w:lang w:eastAsia="en-US"/>
        </w:rPr>
        <w:t>протисудомних</w:t>
      </w:r>
      <w:proofErr w:type="spellEnd"/>
      <w:r w:rsidRPr="003B1460">
        <w:rPr>
          <w:sz w:val="28"/>
          <w:szCs w:val="28"/>
          <w:shd w:val="clear" w:color="auto" w:fill="FFFFFF"/>
          <w:lang w:eastAsia="en-US"/>
        </w:rPr>
        <w:t xml:space="preserve"> препаратів (ПЕП) без розвитку побічних реакцій. При неможливості домогтися контролю нападів необхідно прагнути до максимально можливого скорочення їх частоти з мінімальною кількістю побічних дій ПЕП.</w:t>
      </w:r>
    </w:p>
    <w:p w14:paraId="13AA3918" w14:textId="77777777" w:rsidR="00EE6C94" w:rsidRPr="003B1460" w:rsidRDefault="00934339" w:rsidP="00C16891">
      <w:pPr>
        <w:spacing w:line="240" w:lineRule="auto"/>
        <w:ind w:firstLine="708"/>
        <w:jc w:val="both"/>
        <w:rPr>
          <w:bCs/>
          <w:sz w:val="28"/>
          <w:szCs w:val="28"/>
          <w:shd w:val="clear" w:color="auto" w:fill="FFFFFF"/>
        </w:rPr>
      </w:pPr>
      <w:proofErr w:type="spellStart"/>
      <w:r w:rsidRPr="003B1460">
        <w:rPr>
          <w:b/>
          <w:bCs/>
          <w:sz w:val="28"/>
          <w:szCs w:val="28"/>
          <w:shd w:val="clear" w:color="auto" w:fill="FFFFFF"/>
        </w:rPr>
        <w:t>Спінальна</w:t>
      </w:r>
      <w:proofErr w:type="spellEnd"/>
      <w:r w:rsidRPr="003B1460">
        <w:rPr>
          <w:b/>
          <w:bCs/>
          <w:sz w:val="28"/>
          <w:szCs w:val="28"/>
          <w:shd w:val="clear" w:color="auto" w:fill="FFFFFF"/>
        </w:rPr>
        <w:t xml:space="preserve"> м'язова атрофія</w:t>
      </w:r>
      <w:r w:rsidRPr="003B1460">
        <w:rPr>
          <w:bCs/>
          <w:sz w:val="28"/>
          <w:szCs w:val="28"/>
          <w:shd w:val="clear" w:color="auto" w:fill="FFFFFF"/>
        </w:rPr>
        <w:t xml:space="preserve"> (СМА) належить до генетично гетерогенної групи спадкових неврологічних захворювань і є одним із видів захворювань рухових нейронів. </w:t>
      </w:r>
      <w:proofErr w:type="spellStart"/>
      <w:r w:rsidRPr="003B1460">
        <w:rPr>
          <w:bCs/>
          <w:sz w:val="28"/>
          <w:szCs w:val="28"/>
          <w:shd w:val="clear" w:color="auto" w:fill="FFFFFF"/>
        </w:rPr>
        <w:t>Мотонейрони</w:t>
      </w:r>
      <w:proofErr w:type="spellEnd"/>
      <w:r w:rsidRPr="003B1460">
        <w:rPr>
          <w:bCs/>
          <w:sz w:val="28"/>
          <w:szCs w:val="28"/>
          <w:shd w:val="clear" w:color="auto" w:fill="FFFFFF"/>
        </w:rPr>
        <w:t xml:space="preserve"> – це нервові клітини спинного мозку, які приводять в рух м'язи, що є необхідним для забезпечення рухових функцій людського організму. </w:t>
      </w:r>
    </w:p>
    <w:p w14:paraId="045D1C3F" w14:textId="77777777" w:rsidR="00EE6C94" w:rsidRPr="003B1460" w:rsidRDefault="00934339" w:rsidP="00C16891">
      <w:pPr>
        <w:spacing w:line="240" w:lineRule="auto"/>
        <w:ind w:firstLine="708"/>
        <w:jc w:val="both"/>
        <w:rPr>
          <w:sz w:val="28"/>
          <w:szCs w:val="28"/>
        </w:rPr>
      </w:pPr>
      <w:r w:rsidRPr="003B1460">
        <w:rPr>
          <w:bCs/>
          <w:sz w:val="28"/>
          <w:szCs w:val="28"/>
          <w:shd w:val="clear" w:color="auto" w:fill="FFFFFF"/>
        </w:rPr>
        <w:t xml:space="preserve">Основний механізм цього захворювання пов'язаний із дегенерацією рухових нейронів, розташованих у передніх рогах спинного мозку, що прогресує, а в деяких випадках – з руховими ядрами стовбура головного мозку. Погіршення стану пацієнта, на жаль, неухильно прогресує. Кожен пацієнт з СМА має мутацію в гені виживання </w:t>
      </w:r>
      <w:proofErr w:type="spellStart"/>
      <w:r w:rsidRPr="003B1460">
        <w:rPr>
          <w:bCs/>
          <w:sz w:val="28"/>
          <w:szCs w:val="28"/>
          <w:shd w:val="clear" w:color="auto" w:fill="FFFFFF"/>
        </w:rPr>
        <w:t>мотонейронів</w:t>
      </w:r>
      <w:proofErr w:type="spellEnd"/>
      <w:r w:rsidRPr="003B1460">
        <w:rPr>
          <w:bCs/>
          <w:sz w:val="28"/>
          <w:szCs w:val="28"/>
          <w:shd w:val="clear" w:color="auto" w:fill="FFFFFF"/>
        </w:rPr>
        <w:t>, що продукує білок, важливий для нормального функціонування моторних нейронів. Відсутність цього білка призводить до атрофії нервових клітин, зменшення їх розмірів і загибелі, що призводить до м'язової слабкості.</w:t>
      </w:r>
    </w:p>
    <w:p w14:paraId="03115E27" w14:textId="77777777" w:rsidR="00EE6C94" w:rsidRPr="003B1460" w:rsidRDefault="00934339" w:rsidP="00C16891">
      <w:pPr>
        <w:spacing w:line="240" w:lineRule="auto"/>
        <w:ind w:firstLine="708"/>
        <w:jc w:val="both"/>
        <w:rPr>
          <w:bCs/>
          <w:sz w:val="28"/>
          <w:szCs w:val="28"/>
          <w:shd w:val="clear" w:color="auto" w:fill="FFFFFF"/>
        </w:rPr>
      </w:pPr>
      <w:proofErr w:type="spellStart"/>
      <w:r w:rsidRPr="003B1460">
        <w:rPr>
          <w:bCs/>
          <w:sz w:val="28"/>
          <w:szCs w:val="28"/>
          <w:shd w:val="clear" w:color="auto" w:fill="FFFFFF"/>
        </w:rPr>
        <w:t>Нусинерсен</w:t>
      </w:r>
      <w:proofErr w:type="spellEnd"/>
      <w:r w:rsidRPr="003B1460">
        <w:rPr>
          <w:bCs/>
          <w:sz w:val="28"/>
          <w:szCs w:val="28"/>
          <w:shd w:val="clear" w:color="auto" w:fill="FFFFFF"/>
        </w:rPr>
        <w:t xml:space="preserve"> представляє собою </w:t>
      </w:r>
      <w:proofErr w:type="spellStart"/>
      <w:r w:rsidRPr="003B1460">
        <w:rPr>
          <w:bCs/>
          <w:sz w:val="28"/>
          <w:szCs w:val="28"/>
          <w:shd w:val="clear" w:color="auto" w:fill="FFFFFF"/>
        </w:rPr>
        <w:t>олігонуклеотид</w:t>
      </w:r>
      <w:proofErr w:type="spellEnd"/>
      <w:r w:rsidRPr="003B1460">
        <w:rPr>
          <w:bCs/>
          <w:sz w:val="28"/>
          <w:szCs w:val="28"/>
          <w:shd w:val="clear" w:color="auto" w:fill="FFFFFF"/>
        </w:rPr>
        <w:t xml:space="preserve"> (АСО), структура якого спеціально розроблена для лікування СМА.</w:t>
      </w:r>
    </w:p>
    <w:p w14:paraId="4C55B9A9" w14:textId="77777777" w:rsidR="00EE6C94" w:rsidRPr="003B1460" w:rsidRDefault="00934339" w:rsidP="00C16891">
      <w:pPr>
        <w:spacing w:line="240" w:lineRule="auto"/>
        <w:ind w:firstLine="708"/>
        <w:jc w:val="both"/>
        <w:rPr>
          <w:sz w:val="26"/>
        </w:rPr>
      </w:pPr>
      <w:r w:rsidRPr="003B1460">
        <w:rPr>
          <w:bCs/>
          <w:sz w:val="28"/>
          <w:szCs w:val="28"/>
          <w:shd w:val="clear" w:color="auto" w:fill="FFFFFF"/>
        </w:rPr>
        <w:t xml:space="preserve">Частині дітей у важких формах потрібна респіраторна підтримка, в т.ч. ШВЛ. </w:t>
      </w:r>
    </w:p>
    <w:p w14:paraId="0FC06AC8" w14:textId="77777777" w:rsidR="00EE6C94" w:rsidRPr="003B1460" w:rsidRDefault="00934339" w:rsidP="00C16891">
      <w:pPr>
        <w:spacing w:line="240" w:lineRule="auto"/>
        <w:ind w:firstLine="708"/>
        <w:jc w:val="both"/>
        <w:rPr>
          <w:rStyle w:val="a3"/>
          <w:bCs w:val="0"/>
          <w:sz w:val="28"/>
          <w:szCs w:val="28"/>
          <w:shd w:val="clear" w:color="auto" w:fill="FFFFFF"/>
        </w:rPr>
      </w:pPr>
      <w:r w:rsidRPr="003B1460">
        <w:rPr>
          <w:b/>
          <w:bCs/>
          <w:sz w:val="28"/>
          <w:szCs w:val="28"/>
          <w:shd w:val="clear" w:color="auto" w:fill="FFFFFF"/>
        </w:rPr>
        <w:t xml:space="preserve">М’язова дистрофія </w:t>
      </w:r>
      <w:proofErr w:type="spellStart"/>
      <w:r w:rsidRPr="003B1460">
        <w:rPr>
          <w:b/>
          <w:bCs/>
          <w:sz w:val="28"/>
          <w:szCs w:val="28"/>
          <w:shd w:val="clear" w:color="auto" w:fill="FFFFFF"/>
        </w:rPr>
        <w:t>Дюшена</w:t>
      </w:r>
      <w:proofErr w:type="spellEnd"/>
      <w:r w:rsidRPr="003B1460">
        <w:rPr>
          <w:b/>
          <w:bCs/>
          <w:sz w:val="28"/>
          <w:szCs w:val="28"/>
          <w:shd w:val="clear" w:color="auto" w:fill="FFFFFF"/>
        </w:rPr>
        <w:t xml:space="preserve"> (МДД)</w:t>
      </w:r>
      <w:r w:rsidRPr="003B1460">
        <w:rPr>
          <w:b/>
          <w:sz w:val="28"/>
          <w:szCs w:val="28"/>
          <w:shd w:val="clear" w:color="auto" w:fill="FFFFFF"/>
        </w:rPr>
        <w:t xml:space="preserve"> — </w:t>
      </w:r>
      <w:r w:rsidRPr="003B1460">
        <w:rPr>
          <w:sz w:val="28"/>
          <w:szCs w:val="28"/>
          <w:shd w:val="clear" w:color="auto" w:fill="FFFFFF"/>
        </w:rPr>
        <w:t>ц</w:t>
      </w:r>
      <w:r w:rsidRPr="003B1460">
        <w:rPr>
          <w:bCs/>
          <w:sz w:val="28"/>
          <w:szCs w:val="28"/>
          <w:shd w:val="clear" w:color="auto" w:fill="FFFFFF"/>
        </w:rPr>
        <w:t>е серйозне рецесивне захворювання, </w:t>
      </w:r>
      <w:hyperlink r:id="rId9" w:history="1">
        <w:r w:rsidRPr="003B1460">
          <w:rPr>
            <w:bCs/>
            <w:sz w:val="28"/>
            <w:szCs w:val="28"/>
            <w:shd w:val="clear" w:color="auto" w:fill="FFFFFF"/>
          </w:rPr>
          <w:t xml:space="preserve">зчеплене з </w:t>
        </w:r>
        <w:proofErr w:type="spellStart"/>
        <w:r w:rsidRPr="003B1460">
          <w:rPr>
            <w:bCs/>
            <w:sz w:val="28"/>
            <w:szCs w:val="28"/>
            <w:shd w:val="clear" w:color="auto" w:fill="FFFFFF"/>
          </w:rPr>
          <w:t>Х-хромосомою</w:t>
        </w:r>
        <w:proofErr w:type="spellEnd"/>
      </w:hyperlink>
      <w:r w:rsidRPr="003B1460">
        <w:rPr>
          <w:bCs/>
          <w:sz w:val="28"/>
          <w:szCs w:val="28"/>
          <w:shd w:val="clear" w:color="auto" w:fill="FFFFFF"/>
        </w:rPr>
        <w:t>, яке характеризується швидким прогресуванням м’язової дистрофії, яка в кінцевому підсумку призводить до повної втрати здатності рухатися та смерті хворого. У зв’язку з прогресивним погіршенням роботи м’язів, особа втрачає можливість рухатися, що, зрештою, може призвести до паралічу.</w:t>
      </w:r>
      <w:r w:rsidRPr="003B1460">
        <w:rPr>
          <w:color w:val="666666"/>
          <w:sz w:val="28"/>
          <w:szCs w:val="28"/>
          <w:shd w:val="clear" w:color="auto" w:fill="FFFFFF"/>
        </w:rPr>
        <w:t xml:space="preserve"> </w:t>
      </w:r>
      <w:r w:rsidRPr="003B1460">
        <w:rPr>
          <w:bCs/>
          <w:sz w:val="28"/>
          <w:szCs w:val="28"/>
          <w:shd w:val="clear" w:color="auto" w:fill="FFFFFF"/>
        </w:rPr>
        <w:t>Використання сучасних апаратів штучної вентиляції легень, які доставляють регульований обсяг (кількість) повітря до легень людини, особливо важливе для осіб, які страждають від дихальних проблем, що виникають в процесі розвитку м’язової дистрофії. Застосування цих механізмів при захворюванні на МДД можна розпочати в підлітковому віці, коли дихальні м’язи починають пошкоджуватися.</w:t>
      </w:r>
    </w:p>
    <w:p w14:paraId="63CD31BA" w14:textId="77777777" w:rsidR="00EE6C94" w:rsidRPr="003B1460" w:rsidRDefault="00934339" w:rsidP="00C16891">
      <w:pPr>
        <w:spacing w:line="240" w:lineRule="auto"/>
        <w:ind w:firstLine="708"/>
        <w:jc w:val="both"/>
        <w:rPr>
          <w:bCs/>
          <w:sz w:val="28"/>
          <w:szCs w:val="28"/>
          <w:shd w:val="clear" w:color="auto" w:fill="FFFFFF"/>
        </w:rPr>
      </w:pPr>
      <w:r w:rsidRPr="003B1460">
        <w:rPr>
          <w:bCs/>
          <w:sz w:val="28"/>
          <w:szCs w:val="28"/>
          <w:shd w:val="clear" w:color="auto" w:fill="FFFFFF"/>
        </w:rPr>
        <w:t>Частині дітей у важких формах потрібна респіраторна підтримка, в т.ч. ШВЛ. Цією програмою передбачено придбання для дітей області двох апаратів ШВЛ.</w:t>
      </w:r>
    </w:p>
    <w:p w14:paraId="51F999D1" w14:textId="77777777" w:rsidR="00EE6C94" w:rsidRPr="003B1460" w:rsidRDefault="00934339" w:rsidP="00C16891">
      <w:pPr>
        <w:spacing w:line="240" w:lineRule="auto"/>
        <w:ind w:firstLine="708"/>
        <w:jc w:val="both"/>
        <w:rPr>
          <w:rStyle w:val="a3"/>
          <w:b w:val="0"/>
          <w:sz w:val="28"/>
          <w:szCs w:val="28"/>
          <w:shd w:val="clear" w:color="auto" w:fill="FFFFFF"/>
        </w:rPr>
      </w:pPr>
      <w:proofErr w:type="spellStart"/>
      <w:r w:rsidRPr="003B1460">
        <w:rPr>
          <w:rStyle w:val="a3"/>
          <w:bCs w:val="0"/>
          <w:sz w:val="28"/>
          <w:szCs w:val="28"/>
          <w:shd w:val="clear" w:color="auto" w:fill="FFFFFF"/>
        </w:rPr>
        <w:t>Ревматоїдний</w:t>
      </w:r>
      <w:proofErr w:type="spellEnd"/>
      <w:r w:rsidRPr="003B1460">
        <w:rPr>
          <w:rStyle w:val="a3"/>
          <w:bCs w:val="0"/>
          <w:sz w:val="28"/>
          <w:szCs w:val="28"/>
          <w:shd w:val="clear" w:color="auto" w:fill="FFFFFF"/>
        </w:rPr>
        <w:t xml:space="preserve"> артрит (РА)</w:t>
      </w:r>
      <w:r w:rsidRPr="003B1460">
        <w:rPr>
          <w:rStyle w:val="a3"/>
          <w:b w:val="0"/>
          <w:sz w:val="28"/>
          <w:szCs w:val="28"/>
          <w:shd w:val="clear" w:color="auto" w:fill="FFFFFF"/>
        </w:rPr>
        <w:t xml:space="preserve"> - хронічне системне захворювання сполучної тканини імунного ґенезу та невідомої етіології, яке характеризується неспецифічним симетричним артритом, </w:t>
      </w:r>
      <w:proofErr w:type="spellStart"/>
      <w:r w:rsidRPr="003B1460">
        <w:rPr>
          <w:rStyle w:val="a3"/>
          <w:b w:val="0"/>
          <w:sz w:val="28"/>
          <w:szCs w:val="28"/>
          <w:shd w:val="clear" w:color="auto" w:fill="FFFFFF"/>
        </w:rPr>
        <w:t>позасуглобовими</w:t>
      </w:r>
      <w:proofErr w:type="spellEnd"/>
      <w:r w:rsidRPr="003B1460">
        <w:rPr>
          <w:rStyle w:val="a3"/>
          <w:b w:val="0"/>
          <w:sz w:val="28"/>
          <w:szCs w:val="28"/>
          <w:shd w:val="clear" w:color="auto" w:fill="FFFFFF"/>
        </w:rPr>
        <w:t xml:space="preserve"> змінами та системними симптомами, та призводить до інвалідності і </w:t>
      </w:r>
      <w:r w:rsidRPr="003B1460">
        <w:rPr>
          <w:rStyle w:val="a3"/>
          <w:b w:val="0"/>
          <w:sz w:val="28"/>
          <w:szCs w:val="28"/>
          <w:shd w:val="clear" w:color="auto" w:fill="FFFFFF"/>
        </w:rPr>
        <w:lastRenderedPageBreak/>
        <w:t xml:space="preserve">передчасної смерті. Залежно від наявності чи відсутності у сироватці </w:t>
      </w:r>
      <w:proofErr w:type="spellStart"/>
      <w:r w:rsidRPr="003B1460">
        <w:rPr>
          <w:rStyle w:val="a3"/>
          <w:b w:val="0"/>
          <w:sz w:val="28"/>
          <w:szCs w:val="28"/>
          <w:shd w:val="clear" w:color="auto" w:fill="FFFFFF"/>
        </w:rPr>
        <w:t>аутоантитіл</w:t>
      </w:r>
      <w:proofErr w:type="spellEnd"/>
      <w:r w:rsidRPr="003B1460">
        <w:rPr>
          <w:rStyle w:val="a3"/>
          <w:b w:val="0"/>
          <w:sz w:val="28"/>
          <w:szCs w:val="28"/>
          <w:shd w:val="clear" w:color="auto" w:fill="FFFFFF"/>
        </w:rPr>
        <w:t xml:space="preserve"> (</w:t>
      </w:r>
      <w:proofErr w:type="spellStart"/>
      <w:r w:rsidRPr="003B1460">
        <w:rPr>
          <w:rStyle w:val="a3"/>
          <w:b w:val="0"/>
          <w:sz w:val="28"/>
          <w:szCs w:val="28"/>
          <w:shd w:val="clear" w:color="auto" w:fill="FFFFFF"/>
        </w:rPr>
        <w:t>ревматоїдного</w:t>
      </w:r>
      <w:proofErr w:type="spellEnd"/>
      <w:r w:rsidRPr="003B1460">
        <w:rPr>
          <w:rStyle w:val="a3"/>
          <w:b w:val="0"/>
          <w:sz w:val="28"/>
          <w:szCs w:val="28"/>
          <w:shd w:val="clear" w:color="auto" w:fill="FFFFFF"/>
        </w:rPr>
        <w:t xml:space="preserve"> фактору класу </w:t>
      </w:r>
      <w:proofErr w:type="spellStart"/>
      <w:r w:rsidRPr="003B1460">
        <w:rPr>
          <w:rStyle w:val="a3"/>
          <w:b w:val="0"/>
          <w:sz w:val="28"/>
          <w:szCs w:val="28"/>
          <w:shd w:val="clear" w:color="auto" w:fill="FFFFFF"/>
        </w:rPr>
        <w:t>IgM</w:t>
      </w:r>
      <w:proofErr w:type="spellEnd"/>
      <w:r w:rsidRPr="003B1460">
        <w:rPr>
          <w:rStyle w:val="a3"/>
          <w:b w:val="0"/>
          <w:sz w:val="28"/>
          <w:szCs w:val="28"/>
          <w:shd w:val="clear" w:color="auto" w:fill="FFFFFF"/>
        </w:rPr>
        <w:t xml:space="preserve"> і/або антитіл до циклічних </w:t>
      </w:r>
      <w:proofErr w:type="spellStart"/>
      <w:r w:rsidRPr="003B1460">
        <w:rPr>
          <w:rStyle w:val="a3"/>
          <w:b w:val="0"/>
          <w:sz w:val="28"/>
          <w:szCs w:val="28"/>
          <w:shd w:val="clear" w:color="auto" w:fill="FFFFFF"/>
        </w:rPr>
        <w:t>цитрулінованих</w:t>
      </w:r>
      <w:proofErr w:type="spellEnd"/>
      <w:r w:rsidRPr="003B1460">
        <w:rPr>
          <w:rStyle w:val="a3"/>
          <w:b w:val="0"/>
          <w:sz w:val="28"/>
          <w:szCs w:val="28"/>
          <w:shd w:val="clear" w:color="auto" w:fill="FFFFFF"/>
        </w:rPr>
        <w:t xml:space="preserve"> пептидів [АЦЦП]) розрізняють </w:t>
      </w:r>
      <w:proofErr w:type="spellStart"/>
      <w:r w:rsidRPr="003B1460">
        <w:rPr>
          <w:rStyle w:val="a3"/>
          <w:b w:val="0"/>
          <w:sz w:val="28"/>
          <w:szCs w:val="28"/>
          <w:shd w:val="clear" w:color="auto" w:fill="FFFFFF"/>
        </w:rPr>
        <w:t>серопозитивну</w:t>
      </w:r>
      <w:proofErr w:type="spellEnd"/>
      <w:r w:rsidRPr="003B1460">
        <w:rPr>
          <w:rStyle w:val="a3"/>
          <w:b w:val="0"/>
          <w:sz w:val="28"/>
          <w:szCs w:val="28"/>
          <w:shd w:val="clear" w:color="auto" w:fill="FFFFFF"/>
        </w:rPr>
        <w:t xml:space="preserve"> або </w:t>
      </w:r>
      <w:proofErr w:type="spellStart"/>
      <w:r w:rsidRPr="003B1460">
        <w:rPr>
          <w:rStyle w:val="a3"/>
          <w:b w:val="0"/>
          <w:sz w:val="28"/>
          <w:szCs w:val="28"/>
          <w:shd w:val="clear" w:color="auto" w:fill="FFFFFF"/>
        </w:rPr>
        <w:t>серонегативну</w:t>
      </w:r>
      <w:proofErr w:type="spellEnd"/>
      <w:r w:rsidRPr="003B1460">
        <w:rPr>
          <w:rStyle w:val="a3"/>
          <w:b w:val="0"/>
          <w:sz w:val="28"/>
          <w:szCs w:val="28"/>
          <w:shd w:val="clear" w:color="auto" w:fill="FFFFFF"/>
        </w:rPr>
        <w:t xml:space="preserve"> форми захворювання.</w:t>
      </w:r>
    </w:p>
    <w:p w14:paraId="6F8EBA52" w14:textId="77777777" w:rsidR="00EE6C94" w:rsidRPr="003B1460" w:rsidRDefault="00934339" w:rsidP="00C16891">
      <w:pPr>
        <w:spacing w:line="240" w:lineRule="auto"/>
        <w:ind w:firstLine="708"/>
        <w:jc w:val="both"/>
        <w:rPr>
          <w:rStyle w:val="a3"/>
          <w:b w:val="0"/>
          <w:sz w:val="28"/>
          <w:szCs w:val="28"/>
        </w:rPr>
      </w:pPr>
      <w:r w:rsidRPr="003B1460">
        <w:rPr>
          <w:rStyle w:val="a3"/>
          <w:b w:val="0"/>
          <w:sz w:val="28"/>
          <w:szCs w:val="28"/>
        </w:rPr>
        <w:t xml:space="preserve">Метою лікування </w:t>
      </w:r>
      <w:proofErr w:type="spellStart"/>
      <w:r w:rsidRPr="003B1460">
        <w:rPr>
          <w:rStyle w:val="a3"/>
          <w:b w:val="0"/>
          <w:sz w:val="28"/>
          <w:szCs w:val="28"/>
        </w:rPr>
        <w:t>Актемрою</w:t>
      </w:r>
      <w:proofErr w:type="spellEnd"/>
      <w:r w:rsidRPr="003B1460">
        <w:rPr>
          <w:rStyle w:val="a3"/>
          <w:b w:val="0"/>
          <w:sz w:val="28"/>
          <w:szCs w:val="28"/>
        </w:rPr>
        <w:t xml:space="preserve"> є клінічна ремісія або принаймні низька активність хвороби, якщо досягнення ремісії є малоймовірним. Цю мету потрібно досягнути протягом 6 міс., при умові, що лікування слід </w:t>
      </w:r>
      <w:proofErr w:type="spellStart"/>
      <w:r w:rsidRPr="003B1460">
        <w:rPr>
          <w:rStyle w:val="a3"/>
          <w:b w:val="0"/>
          <w:sz w:val="28"/>
          <w:szCs w:val="28"/>
        </w:rPr>
        <w:t>змодифікувати</w:t>
      </w:r>
      <w:proofErr w:type="spellEnd"/>
      <w:r w:rsidRPr="003B1460">
        <w:rPr>
          <w:rStyle w:val="a3"/>
          <w:b w:val="0"/>
          <w:sz w:val="28"/>
          <w:szCs w:val="28"/>
        </w:rPr>
        <w:t xml:space="preserve"> або цілком змінити, якщо немає покращення через 3 місяці його застосування.</w:t>
      </w:r>
    </w:p>
    <w:p w14:paraId="518EBBFF" w14:textId="77777777" w:rsidR="00EE6C94" w:rsidRPr="003B1460" w:rsidRDefault="00934339" w:rsidP="00C16891">
      <w:pPr>
        <w:pStyle w:val="a6"/>
        <w:spacing w:before="0" w:beforeAutospacing="0" w:after="0" w:afterAutospacing="0"/>
        <w:ind w:firstLine="708"/>
        <w:jc w:val="both"/>
        <w:rPr>
          <w:rStyle w:val="a3"/>
          <w:rFonts w:eastAsia="Calibri"/>
          <w:b w:val="0"/>
          <w:sz w:val="28"/>
          <w:szCs w:val="28"/>
          <w:shd w:val="clear" w:color="auto" w:fill="FFFFFF"/>
        </w:rPr>
      </w:pPr>
      <w:r w:rsidRPr="003B1460">
        <w:rPr>
          <w:rStyle w:val="a3"/>
          <w:rFonts w:eastAsia="Calibri"/>
          <w:bCs w:val="0"/>
          <w:sz w:val="28"/>
          <w:szCs w:val="28"/>
          <w:shd w:val="clear" w:color="auto" w:fill="FFFFFF"/>
        </w:rPr>
        <w:t xml:space="preserve">Справжній передчасний статевий розвиток (ПСР) </w:t>
      </w:r>
      <w:r w:rsidRPr="003B1460">
        <w:rPr>
          <w:rStyle w:val="a3"/>
          <w:rFonts w:eastAsia="Calibri"/>
          <w:sz w:val="28"/>
          <w:szCs w:val="28"/>
          <w:shd w:val="clear" w:color="auto" w:fill="FFFFFF"/>
        </w:rPr>
        <w:t xml:space="preserve"> </w:t>
      </w:r>
      <w:r w:rsidRPr="003B1460">
        <w:rPr>
          <w:rStyle w:val="a3"/>
          <w:rFonts w:eastAsia="Calibri"/>
          <w:b w:val="0"/>
          <w:sz w:val="28"/>
          <w:szCs w:val="28"/>
          <w:shd w:val="clear" w:color="auto" w:fill="FFFFFF"/>
        </w:rPr>
        <w:t xml:space="preserve">пов’язаний з передчасною надмірною секрецією гіпофізом </w:t>
      </w:r>
      <w:proofErr w:type="spellStart"/>
      <w:r w:rsidRPr="003B1460">
        <w:rPr>
          <w:rStyle w:val="a3"/>
          <w:rFonts w:eastAsia="Calibri"/>
          <w:b w:val="0"/>
          <w:sz w:val="28"/>
          <w:szCs w:val="28"/>
          <w:shd w:val="clear" w:color="auto" w:fill="FFFFFF"/>
        </w:rPr>
        <w:t>гонадотропних</w:t>
      </w:r>
      <w:proofErr w:type="spellEnd"/>
      <w:r w:rsidRPr="003B1460">
        <w:rPr>
          <w:rStyle w:val="a3"/>
          <w:rFonts w:eastAsia="Calibri"/>
          <w:b w:val="0"/>
          <w:sz w:val="28"/>
          <w:szCs w:val="28"/>
          <w:shd w:val="clear" w:color="auto" w:fill="FFFFFF"/>
        </w:rPr>
        <w:t xml:space="preserve"> гормонів.</w:t>
      </w:r>
    </w:p>
    <w:p w14:paraId="6BCF082A" w14:textId="77777777" w:rsidR="00EE6C94" w:rsidRPr="003B1460" w:rsidRDefault="00934339" w:rsidP="00C16891">
      <w:pPr>
        <w:spacing w:line="240" w:lineRule="auto"/>
        <w:ind w:firstLine="708"/>
        <w:jc w:val="both"/>
        <w:rPr>
          <w:rStyle w:val="a3"/>
          <w:b w:val="0"/>
          <w:sz w:val="28"/>
          <w:szCs w:val="28"/>
          <w:shd w:val="clear" w:color="auto" w:fill="FFFFFF"/>
        </w:rPr>
      </w:pPr>
      <w:r w:rsidRPr="003B1460">
        <w:rPr>
          <w:rStyle w:val="a3"/>
          <w:b w:val="0"/>
          <w:sz w:val="28"/>
          <w:szCs w:val="28"/>
          <w:shd w:val="clear" w:color="auto" w:fill="FFFFFF"/>
        </w:rPr>
        <w:t xml:space="preserve">Метою лікування </w:t>
      </w:r>
      <w:proofErr w:type="spellStart"/>
      <w:r w:rsidRPr="003B1460">
        <w:rPr>
          <w:rStyle w:val="a3"/>
          <w:b w:val="0"/>
          <w:sz w:val="28"/>
          <w:szCs w:val="28"/>
          <w:shd w:val="clear" w:color="auto" w:fill="FFFFFF"/>
        </w:rPr>
        <w:t>діфереліном</w:t>
      </w:r>
      <w:proofErr w:type="spellEnd"/>
      <w:r w:rsidRPr="003B1460">
        <w:rPr>
          <w:rStyle w:val="a3"/>
          <w:b w:val="0"/>
          <w:sz w:val="28"/>
          <w:szCs w:val="28"/>
          <w:shd w:val="clear" w:color="auto" w:fill="FFFFFF"/>
        </w:rPr>
        <w:t xml:space="preserve"> є пригнічення розвитку вторинних статевих ознак та зниження темпів дозрівання кісткової системи для запобігання кінцевого низького росту.</w:t>
      </w:r>
    </w:p>
    <w:p w14:paraId="00792DFF" w14:textId="77777777" w:rsidR="00EE6C94" w:rsidRPr="003B1460" w:rsidRDefault="00934339" w:rsidP="00C16891">
      <w:pPr>
        <w:spacing w:line="240" w:lineRule="auto"/>
        <w:ind w:firstLine="720"/>
        <w:jc w:val="both"/>
        <w:rPr>
          <w:rFonts w:eastAsia="Times New Roman"/>
          <w:sz w:val="28"/>
          <w:szCs w:val="28"/>
          <w:lang w:eastAsia="en-US"/>
        </w:rPr>
      </w:pPr>
      <w:r w:rsidRPr="003B1460">
        <w:rPr>
          <w:rFonts w:eastAsia="Times New Roman"/>
          <w:b/>
          <w:sz w:val="28"/>
          <w:szCs w:val="28"/>
          <w:lang w:eastAsia="en-US"/>
        </w:rPr>
        <w:t xml:space="preserve">Акромегалія </w:t>
      </w:r>
      <w:r w:rsidRPr="003B1460">
        <w:rPr>
          <w:rFonts w:eastAsia="Times New Roman"/>
          <w:sz w:val="28"/>
          <w:szCs w:val="28"/>
          <w:lang w:eastAsia="en-US"/>
        </w:rPr>
        <w:t xml:space="preserve">–  одне з найважчих нейроендокринних захворювань, обумовлене хронічною надлишковою секрецією гормону росту (соматотропного гормону – СТГ) у осіб із завершеним фізіологічним зростом і яке характеризується патологічним, диспропорційним періостальним ростом кісток, хрящів, м’яких тканин, внутрішніх органів, а також порушенням функціонального стану серцево-судинної, легеневої систем, периферичних ендокринних залоз, обміну речовин.  У 95% випадків, причиною акромегалії є гормонально-активні пухлини гіпофіза із підвищеною патологічною секрецією СТГ. Розповсюдженість і захворюваність у світі на </w:t>
      </w:r>
      <w:proofErr w:type="spellStart"/>
      <w:r w:rsidRPr="003B1460">
        <w:rPr>
          <w:rFonts w:eastAsia="Times New Roman"/>
          <w:sz w:val="28"/>
          <w:szCs w:val="28"/>
          <w:lang w:eastAsia="en-US"/>
        </w:rPr>
        <w:t>соматотропіноми</w:t>
      </w:r>
      <w:proofErr w:type="spellEnd"/>
      <w:r w:rsidRPr="003B1460">
        <w:rPr>
          <w:rFonts w:eastAsia="Times New Roman"/>
          <w:sz w:val="28"/>
          <w:szCs w:val="28"/>
          <w:lang w:eastAsia="en-US"/>
        </w:rPr>
        <w:t xml:space="preserve"> і </w:t>
      </w:r>
      <w:proofErr w:type="spellStart"/>
      <w:r w:rsidRPr="003B1460">
        <w:rPr>
          <w:rFonts w:eastAsia="Times New Roman"/>
          <w:sz w:val="28"/>
          <w:szCs w:val="28"/>
          <w:lang w:eastAsia="en-US"/>
        </w:rPr>
        <w:t>соматомамотропіноми</w:t>
      </w:r>
      <w:proofErr w:type="spellEnd"/>
      <w:r w:rsidRPr="003B1460">
        <w:rPr>
          <w:rFonts w:eastAsia="Times New Roman"/>
          <w:sz w:val="28"/>
          <w:szCs w:val="28"/>
          <w:lang w:eastAsia="en-US"/>
        </w:rPr>
        <w:t>, клінічними проявами яких є акромегалія, становить 36-90 хворих та 1,9-4,0 на мільйон населення.</w:t>
      </w:r>
    </w:p>
    <w:p w14:paraId="43E63121" w14:textId="77777777" w:rsidR="00EE6C94" w:rsidRPr="003B1460" w:rsidRDefault="00934339" w:rsidP="00C16891">
      <w:pPr>
        <w:spacing w:line="240" w:lineRule="auto"/>
        <w:jc w:val="both"/>
        <w:rPr>
          <w:rFonts w:eastAsia="Times New Roman"/>
          <w:sz w:val="28"/>
          <w:szCs w:val="28"/>
          <w:lang w:eastAsia="en-US"/>
        </w:rPr>
      </w:pPr>
      <w:r w:rsidRPr="003B1460">
        <w:rPr>
          <w:rFonts w:eastAsia="Times New Roman"/>
          <w:b/>
          <w:sz w:val="28"/>
          <w:szCs w:val="28"/>
          <w:lang w:eastAsia="en-US"/>
        </w:rPr>
        <w:t xml:space="preserve"> </w:t>
      </w:r>
      <w:r w:rsidRPr="003B1460">
        <w:rPr>
          <w:rFonts w:eastAsia="Times New Roman"/>
          <w:b/>
          <w:sz w:val="28"/>
          <w:szCs w:val="28"/>
          <w:lang w:eastAsia="en-US"/>
        </w:rPr>
        <w:tab/>
      </w:r>
      <w:r w:rsidRPr="003B1460">
        <w:rPr>
          <w:rFonts w:eastAsia="Times New Roman"/>
          <w:sz w:val="28"/>
          <w:szCs w:val="28"/>
          <w:lang w:eastAsia="en-US"/>
        </w:rPr>
        <w:t xml:space="preserve">Незважаючи на відносно невелику розповсюдженість акромегалії це захворювання відносять до соціально-значущих захворювань, що потребують постійної медичної допомоги. Це обумовлено, з одного боку, специфікою захворювань, що проявляються високим коефіцієнтом </w:t>
      </w:r>
      <w:proofErr w:type="spellStart"/>
      <w:r w:rsidRPr="003B1460">
        <w:rPr>
          <w:rFonts w:eastAsia="Times New Roman"/>
          <w:sz w:val="28"/>
          <w:szCs w:val="28"/>
          <w:lang w:eastAsia="en-US"/>
        </w:rPr>
        <w:t>інвалідизації</w:t>
      </w:r>
      <w:proofErr w:type="spellEnd"/>
      <w:r w:rsidRPr="003B1460">
        <w:rPr>
          <w:rFonts w:eastAsia="Times New Roman"/>
          <w:sz w:val="28"/>
          <w:szCs w:val="28"/>
          <w:lang w:eastAsia="en-US"/>
        </w:rPr>
        <w:t xml:space="preserve"> і смертності, викликаним прогресуючим і </w:t>
      </w:r>
      <w:proofErr w:type="spellStart"/>
      <w:r w:rsidRPr="003B1460">
        <w:rPr>
          <w:rFonts w:eastAsia="Times New Roman"/>
          <w:sz w:val="28"/>
          <w:szCs w:val="28"/>
          <w:lang w:eastAsia="en-US"/>
        </w:rPr>
        <w:t>поліорганним</w:t>
      </w:r>
      <w:proofErr w:type="spellEnd"/>
      <w:r w:rsidRPr="003B1460">
        <w:rPr>
          <w:rFonts w:eastAsia="Times New Roman"/>
          <w:sz w:val="28"/>
          <w:szCs w:val="28"/>
          <w:lang w:eastAsia="en-US"/>
        </w:rPr>
        <w:t xml:space="preserve"> ураженням. Смертність хворих на акромегалію в 10 разів більше, ніж в загальній популяції. Основними причинами смертності є системні ускладнення, а саме: </w:t>
      </w:r>
      <w:proofErr w:type="spellStart"/>
      <w:r w:rsidRPr="003B1460">
        <w:rPr>
          <w:rFonts w:eastAsia="Times New Roman"/>
          <w:sz w:val="28"/>
          <w:szCs w:val="28"/>
          <w:lang w:eastAsia="en-US"/>
        </w:rPr>
        <w:t>кардіо-</w:t>
      </w:r>
      <w:proofErr w:type="spellEnd"/>
      <w:r w:rsidRPr="003B1460">
        <w:rPr>
          <w:rFonts w:eastAsia="Times New Roman"/>
          <w:sz w:val="28"/>
          <w:szCs w:val="28"/>
          <w:lang w:eastAsia="en-US"/>
        </w:rPr>
        <w:t xml:space="preserve"> і </w:t>
      </w:r>
      <w:proofErr w:type="spellStart"/>
      <w:r w:rsidRPr="003B1460">
        <w:rPr>
          <w:rFonts w:eastAsia="Times New Roman"/>
          <w:sz w:val="28"/>
          <w:szCs w:val="28"/>
          <w:lang w:eastAsia="en-US"/>
        </w:rPr>
        <w:t>цереброваскулярна</w:t>
      </w:r>
      <w:proofErr w:type="spellEnd"/>
      <w:r w:rsidRPr="003B1460">
        <w:rPr>
          <w:rFonts w:eastAsia="Times New Roman"/>
          <w:sz w:val="28"/>
          <w:szCs w:val="28"/>
          <w:lang w:eastAsia="en-US"/>
        </w:rPr>
        <w:t xml:space="preserve"> патологія (60 %), захворювання  дихальної системи (25 %) і злоякісні новоутворення (15 %). Найбільш клінічно значущими ускладненнями, з якими пов`язана передчасна смертність 60 % хворих на акромегалію, є </w:t>
      </w:r>
      <w:proofErr w:type="spellStart"/>
      <w:r w:rsidRPr="003B1460">
        <w:rPr>
          <w:rFonts w:eastAsia="Times New Roman"/>
          <w:sz w:val="28"/>
          <w:szCs w:val="28"/>
          <w:lang w:eastAsia="en-US"/>
        </w:rPr>
        <w:t>акромегалоїдна</w:t>
      </w:r>
      <w:proofErr w:type="spellEnd"/>
      <w:r w:rsidRPr="003B1460">
        <w:rPr>
          <w:rFonts w:eastAsia="Times New Roman"/>
          <w:sz w:val="28"/>
          <w:szCs w:val="28"/>
          <w:lang w:eastAsia="en-US"/>
        </w:rPr>
        <w:t xml:space="preserve"> </w:t>
      </w:r>
      <w:proofErr w:type="spellStart"/>
      <w:r w:rsidRPr="003B1460">
        <w:rPr>
          <w:rFonts w:eastAsia="Times New Roman"/>
          <w:sz w:val="28"/>
          <w:szCs w:val="28"/>
          <w:lang w:eastAsia="en-US"/>
        </w:rPr>
        <w:t>кардіоміопатія</w:t>
      </w:r>
      <w:proofErr w:type="spellEnd"/>
      <w:r w:rsidRPr="003B1460">
        <w:rPr>
          <w:rFonts w:eastAsia="Times New Roman"/>
          <w:sz w:val="28"/>
          <w:szCs w:val="28"/>
          <w:lang w:eastAsia="en-US"/>
        </w:rPr>
        <w:t xml:space="preserve"> з порушенням скорочувальної функції міокарда і розвитком серцевої недостатності, а також артеріальна гіпертензія. Окрім того, такі метаболічні порушення як </w:t>
      </w:r>
      <w:proofErr w:type="spellStart"/>
      <w:r w:rsidRPr="003B1460">
        <w:rPr>
          <w:rFonts w:eastAsia="Times New Roman"/>
          <w:sz w:val="28"/>
          <w:szCs w:val="28"/>
          <w:lang w:eastAsia="en-US"/>
        </w:rPr>
        <w:t>дисліпідемія</w:t>
      </w:r>
      <w:proofErr w:type="spellEnd"/>
      <w:r w:rsidRPr="003B1460">
        <w:rPr>
          <w:rFonts w:eastAsia="Times New Roman"/>
          <w:sz w:val="28"/>
          <w:szCs w:val="28"/>
          <w:lang w:eastAsia="en-US"/>
        </w:rPr>
        <w:t xml:space="preserve">, </w:t>
      </w:r>
      <w:proofErr w:type="spellStart"/>
      <w:r w:rsidRPr="003B1460">
        <w:rPr>
          <w:rFonts w:eastAsia="Times New Roman"/>
          <w:sz w:val="28"/>
          <w:szCs w:val="28"/>
          <w:lang w:eastAsia="en-US"/>
        </w:rPr>
        <w:t>інсулінорезистентність</w:t>
      </w:r>
      <w:proofErr w:type="spellEnd"/>
      <w:r w:rsidRPr="003B1460">
        <w:rPr>
          <w:rFonts w:eastAsia="Times New Roman"/>
          <w:sz w:val="28"/>
          <w:szCs w:val="28"/>
          <w:lang w:eastAsia="en-US"/>
        </w:rPr>
        <w:t xml:space="preserve">, різного ступеня виразності порушення толерантності до глюкози, навіть формування тяжких </w:t>
      </w:r>
      <w:proofErr w:type="spellStart"/>
      <w:r w:rsidRPr="003B1460">
        <w:rPr>
          <w:rFonts w:eastAsia="Times New Roman"/>
          <w:sz w:val="28"/>
          <w:szCs w:val="28"/>
          <w:lang w:eastAsia="en-US"/>
        </w:rPr>
        <w:t>інсулінорезистентних</w:t>
      </w:r>
      <w:proofErr w:type="spellEnd"/>
      <w:r w:rsidRPr="003B1460">
        <w:rPr>
          <w:rFonts w:eastAsia="Times New Roman"/>
          <w:sz w:val="28"/>
          <w:szCs w:val="28"/>
          <w:lang w:eastAsia="en-US"/>
        </w:rPr>
        <w:t xml:space="preserve"> форм цукрового діабету, відомі також як незалежні маркери ризику </w:t>
      </w:r>
      <w:proofErr w:type="spellStart"/>
      <w:r w:rsidRPr="003B1460">
        <w:rPr>
          <w:rFonts w:eastAsia="Times New Roman"/>
          <w:sz w:val="28"/>
          <w:szCs w:val="28"/>
          <w:lang w:eastAsia="en-US"/>
        </w:rPr>
        <w:t>кардіоваскулярних</w:t>
      </w:r>
      <w:proofErr w:type="spellEnd"/>
      <w:r w:rsidRPr="003B1460">
        <w:rPr>
          <w:rFonts w:eastAsia="Times New Roman"/>
          <w:sz w:val="28"/>
          <w:szCs w:val="28"/>
          <w:lang w:eastAsia="en-US"/>
        </w:rPr>
        <w:t xml:space="preserve"> ускладнень у хворих на акромегалію.</w:t>
      </w:r>
    </w:p>
    <w:p w14:paraId="70F7A03E" w14:textId="77777777" w:rsidR="00EE6C94" w:rsidRPr="003B1460" w:rsidRDefault="00934339" w:rsidP="00C16891">
      <w:pPr>
        <w:spacing w:line="240" w:lineRule="auto"/>
        <w:ind w:firstLine="720"/>
        <w:jc w:val="both"/>
        <w:rPr>
          <w:rFonts w:eastAsia="Times New Roman"/>
          <w:sz w:val="28"/>
          <w:szCs w:val="28"/>
          <w:lang w:eastAsia="en-US"/>
        </w:rPr>
      </w:pPr>
      <w:r w:rsidRPr="003B1460">
        <w:rPr>
          <w:rFonts w:eastAsia="Times New Roman"/>
          <w:sz w:val="28"/>
          <w:szCs w:val="28"/>
          <w:lang w:eastAsia="en-US"/>
        </w:rPr>
        <w:t xml:space="preserve">На сьогодні отримано переконливі дані, що свідчать про можливість зниження смертності до рівня загальної популяції за умов досягнення довгострокової клініко-гормональної ремісії захворювання. показали залежність рівня смертності хворих на акромегалію від вмісту СТГ і </w:t>
      </w:r>
      <w:proofErr w:type="spellStart"/>
      <w:r w:rsidRPr="003B1460">
        <w:rPr>
          <w:rFonts w:eastAsia="Times New Roman"/>
          <w:sz w:val="28"/>
          <w:szCs w:val="28"/>
          <w:lang w:eastAsia="en-US"/>
        </w:rPr>
        <w:lastRenderedPageBreak/>
        <w:t>інсуліноподібного</w:t>
      </w:r>
      <w:proofErr w:type="spellEnd"/>
      <w:r w:rsidRPr="003B1460">
        <w:rPr>
          <w:rFonts w:eastAsia="Times New Roman"/>
          <w:sz w:val="28"/>
          <w:szCs w:val="28"/>
          <w:lang w:eastAsia="en-US"/>
        </w:rPr>
        <w:t xml:space="preserve"> ростового фактору-1 (ІРФ-1) в сироватці крові. За результатами ретроспективних </w:t>
      </w:r>
      <w:proofErr w:type="spellStart"/>
      <w:r w:rsidRPr="003B1460">
        <w:rPr>
          <w:rFonts w:eastAsia="Times New Roman"/>
          <w:sz w:val="28"/>
          <w:szCs w:val="28"/>
          <w:lang w:eastAsia="en-US"/>
        </w:rPr>
        <w:t>когортних</w:t>
      </w:r>
      <w:proofErr w:type="spellEnd"/>
      <w:r w:rsidRPr="003B1460">
        <w:rPr>
          <w:rFonts w:eastAsia="Times New Roman"/>
          <w:sz w:val="28"/>
          <w:szCs w:val="28"/>
          <w:lang w:eastAsia="en-US"/>
        </w:rPr>
        <w:t xml:space="preserve"> досліджень було створено міжнародний консенсус з лікування акромегалії (2000 р., нова редакція 2009 р.) і запропоновані критерії адекватного клініко-біохімічного контролю захворювання. У переважної більшості країн Європи та Північної Америки діагностика акромегалії та лікування цих хворих здійснюється за рахунок коштів державних бюджетів або в межах страхової медицини.</w:t>
      </w:r>
    </w:p>
    <w:p w14:paraId="66CB6D59" w14:textId="77777777" w:rsidR="00EE6C94" w:rsidRPr="003B1460" w:rsidRDefault="00934339" w:rsidP="00C16891">
      <w:pPr>
        <w:spacing w:line="240" w:lineRule="auto"/>
        <w:ind w:firstLine="720"/>
        <w:jc w:val="both"/>
        <w:rPr>
          <w:rFonts w:eastAsia="Times New Roman"/>
          <w:color w:val="000000"/>
          <w:sz w:val="28"/>
          <w:szCs w:val="28"/>
          <w:lang w:eastAsia="en-US"/>
        </w:rPr>
      </w:pPr>
      <w:r w:rsidRPr="003B1460">
        <w:rPr>
          <w:rFonts w:eastAsia="Times New Roman"/>
          <w:color w:val="000000"/>
          <w:sz w:val="28"/>
          <w:szCs w:val="28"/>
          <w:lang w:eastAsia="en-US"/>
        </w:rPr>
        <w:t xml:space="preserve">На сьогодні існує декілька методів терапії акромегалії, серед яких найбільшої уваги з </w:t>
      </w:r>
      <w:proofErr w:type="spellStart"/>
      <w:r w:rsidRPr="003B1460">
        <w:rPr>
          <w:rFonts w:eastAsia="Times New Roman"/>
          <w:color w:val="000000"/>
          <w:sz w:val="28"/>
          <w:szCs w:val="28"/>
          <w:lang w:eastAsia="en-US"/>
        </w:rPr>
        <w:t>фармакоекономічної</w:t>
      </w:r>
      <w:proofErr w:type="spellEnd"/>
      <w:r w:rsidRPr="003B1460">
        <w:rPr>
          <w:rFonts w:eastAsia="Times New Roman"/>
          <w:color w:val="000000"/>
          <w:sz w:val="28"/>
          <w:szCs w:val="28"/>
          <w:lang w:eastAsia="en-US"/>
        </w:rPr>
        <w:t xml:space="preserve"> точки зору заслуговує медикаментозне лікування аналогами </w:t>
      </w:r>
      <w:proofErr w:type="spellStart"/>
      <w:r w:rsidRPr="003B1460">
        <w:rPr>
          <w:rFonts w:eastAsia="Times New Roman"/>
          <w:color w:val="000000"/>
          <w:sz w:val="28"/>
          <w:szCs w:val="28"/>
          <w:lang w:eastAsia="en-US"/>
        </w:rPr>
        <w:t>соматостатинів</w:t>
      </w:r>
      <w:proofErr w:type="spellEnd"/>
      <w:r w:rsidRPr="003B1460">
        <w:rPr>
          <w:rFonts w:eastAsia="Times New Roman"/>
          <w:color w:val="000000"/>
          <w:sz w:val="28"/>
          <w:szCs w:val="28"/>
          <w:lang w:eastAsia="en-US"/>
        </w:rPr>
        <w:t xml:space="preserve"> (АСС), оскільки значна кількість пацієнтів потребують </w:t>
      </w:r>
      <w:proofErr w:type="spellStart"/>
      <w:r w:rsidRPr="003B1460">
        <w:rPr>
          <w:rFonts w:eastAsia="Times New Roman"/>
          <w:color w:val="000000"/>
          <w:sz w:val="28"/>
          <w:szCs w:val="28"/>
          <w:lang w:eastAsia="en-US"/>
        </w:rPr>
        <w:t>пожиттєве</w:t>
      </w:r>
      <w:proofErr w:type="spellEnd"/>
      <w:r w:rsidRPr="003B1460">
        <w:rPr>
          <w:rFonts w:eastAsia="Times New Roman"/>
          <w:color w:val="000000"/>
          <w:sz w:val="28"/>
          <w:szCs w:val="28"/>
          <w:lang w:eastAsia="en-US"/>
        </w:rPr>
        <w:t xml:space="preserve"> лікування. Дані про клінічну ефективність АСС, доказова властивість зменшувати розміри пухлини гіпофіза, що сприяє передопераційній підготовці пацієнтів, ефективність у відношенні контролю клінічних та біохімічних маркерів захворювання, у випадку наявності протипоказань до операції чи при розвитку рецидиву в післяопераційному періоді, визначили місце АС як препаратів «першої лінії» при медикаментозному лікуванні акромегалії, як при первинній терапії, так і в комбінації з іншими методами лікування цього захворювання.</w:t>
      </w:r>
    </w:p>
    <w:p w14:paraId="252ECEDE" w14:textId="77777777" w:rsidR="00EE6C94" w:rsidRPr="003B1460" w:rsidRDefault="00934339" w:rsidP="00C16891">
      <w:pPr>
        <w:spacing w:line="240" w:lineRule="auto"/>
        <w:ind w:firstLine="720"/>
        <w:jc w:val="both"/>
        <w:rPr>
          <w:rFonts w:eastAsia="Times New Roman"/>
          <w:sz w:val="28"/>
          <w:szCs w:val="28"/>
          <w:lang w:eastAsia="en-US"/>
        </w:rPr>
      </w:pPr>
      <w:r w:rsidRPr="003B1460">
        <w:rPr>
          <w:rFonts w:eastAsia="Times New Roman"/>
          <w:sz w:val="28"/>
          <w:szCs w:val="28"/>
          <w:lang w:eastAsia="en-US"/>
        </w:rPr>
        <w:t xml:space="preserve">Профіль побічних явищ при застосуванні пролонгованих аналогів </w:t>
      </w:r>
      <w:proofErr w:type="spellStart"/>
      <w:r w:rsidRPr="003B1460">
        <w:rPr>
          <w:rFonts w:eastAsia="Times New Roman"/>
          <w:sz w:val="28"/>
          <w:szCs w:val="28"/>
          <w:lang w:eastAsia="en-US"/>
        </w:rPr>
        <w:t>соматостатину</w:t>
      </w:r>
      <w:proofErr w:type="spellEnd"/>
      <w:r w:rsidRPr="003B1460">
        <w:rPr>
          <w:rFonts w:eastAsia="Times New Roman"/>
          <w:sz w:val="28"/>
          <w:szCs w:val="28"/>
          <w:lang w:eastAsia="en-US"/>
        </w:rPr>
        <w:t xml:space="preserve"> є добре вивченим та прогнозованим, у порівнянні з іншими схемами терапії. При цьому, відповідно, досягається економія коштів на лікування можливих побічних явищ через їх передбачуваність та відомі показники частоти виникнення.</w:t>
      </w:r>
    </w:p>
    <w:p w14:paraId="0FC2E4D5" w14:textId="77777777" w:rsidR="00EE6C94" w:rsidRPr="003B1460" w:rsidRDefault="00934339" w:rsidP="00C16891">
      <w:pPr>
        <w:spacing w:line="240" w:lineRule="auto"/>
        <w:ind w:firstLine="720"/>
        <w:jc w:val="both"/>
        <w:rPr>
          <w:rFonts w:eastAsia="Times New Roman"/>
          <w:sz w:val="28"/>
          <w:szCs w:val="28"/>
          <w:lang w:eastAsia="en-US"/>
        </w:rPr>
      </w:pPr>
      <w:r w:rsidRPr="003B1460">
        <w:rPr>
          <w:rFonts w:eastAsia="Times New Roman"/>
          <w:sz w:val="28"/>
          <w:szCs w:val="28"/>
          <w:lang w:eastAsia="en-US"/>
        </w:rPr>
        <w:t xml:space="preserve">Зважаючи на високу доведену ефективність та добре вивчений профіль безпеки аналогів </w:t>
      </w:r>
      <w:proofErr w:type="spellStart"/>
      <w:r w:rsidRPr="003B1460">
        <w:rPr>
          <w:rFonts w:eastAsia="Times New Roman"/>
          <w:sz w:val="28"/>
          <w:szCs w:val="28"/>
          <w:lang w:eastAsia="en-US"/>
        </w:rPr>
        <w:t>соматостатину</w:t>
      </w:r>
      <w:proofErr w:type="spellEnd"/>
      <w:r w:rsidRPr="003B1460">
        <w:rPr>
          <w:rFonts w:eastAsia="Times New Roman"/>
          <w:sz w:val="28"/>
          <w:szCs w:val="28"/>
          <w:lang w:eastAsia="en-US"/>
        </w:rPr>
        <w:t xml:space="preserve"> пролонгованої дії (</w:t>
      </w:r>
      <w:proofErr w:type="spellStart"/>
      <w:r w:rsidRPr="003B1460">
        <w:rPr>
          <w:rFonts w:eastAsia="Times New Roman"/>
          <w:sz w:val="28"/>
          <w:szCs w:val="28"/>
          <w:lang w:eastAsia="en-US"/>
        </w:rPr>
        <w:t>Октреотид</w:t>
      </w:r>
      <w:proofErr w:type="spellEnd"/>
      <w:r w:rsidRPr="003B1460">
        <w:rPr>
          <w:rFonts w:eastAsia="Times New Roman"/>
          <w:sz w:val="28"/>
          <w:szCs w:val="28"/>
          <w:lang w:eastAsia="en-US"/>
        </w:rPr>
        <w:t xml:space="preserve">, </w:t>
      </w:r>
      <w:proofErr w:type="spellStart"/>
      <w:r w:rsidRPr="003B1460">
        <w:rPr>
          <w:rFonts w:eastAsia="Times New Roman"/>
          <w:sz w:val="28"/>
          <w:szCs w:val="28"/>
          <w:lang w:eastAsia="en-US"/>
        </w:rPr>
        <w:t>Лантреотид</w:t>
      </w:r>
      <w:proofErr w:type="spellEnd"/>
      <w:r w:rsidRPr="003B1460">
        <w:rPr>
          <w:rFonts w:eastAsia="Times New Roman"/>
          <w:sz w:val="28"/>
          <w:szCs w:val="28"/>
          <w:lang w:eastAsia="en-US"/>
        </w:rPr>
        <w:t>), а також медичну та соціальну значимість рідкісних (</w:t>
      </w:r>
      <w:proofErr w:type="spellStart"/>
      <w:r w:rsidRPr="003B1460">
        <w:rPr>
          <w:rFonts w:eastAsia="Times New Roman"/>
          <w:sz w:val="28"/>
          <w:szCs w:val="28"/>
          <w:lang w:eastAsia="en-US"/>
        </w:rPr>
        <w:t>орфанних</w:t>
      </w:r>
      <w:proofErr w:type="spellEnd"/>
      <w:r w:rsidRPr="003B1460">
        <w:rPr>
          <w:rFonts w:eastAsia="Times New Roman"/>
          <w:sz w:val="28"/>
          <w:szCs w:val="28"/>
          <w:lang w:eastAsia="en-US"/>
        </w:rPr>
        <w:t>) захворювань в Україні, застосування їх для лікування хворих на акромегалію є клінічно та економічно обґрунтованим і раціональним з огляду на використання обмежених фінансових та інших ресурсів.</w:t>
      </w:r>
    </w:p>
    <w:p w14:paraId="42D16C1C" w14:textId="77777777" w:rsidR="00EE6C94" w:rsidRPr="003B1460" w:rsidRDefault="00934339" w:rsidP="00C16891">
      <w:pPr>
        <w:spacing w:line="240" w:lineRule="auto"/>
        <w:ind w:firstLine="720"/>
        <w:jc w:val="both"/>
        <w:rPr>
          <w:rFonts w:eastAsia="Times New Roman"/>
          <w:sz w:val="28"/>
          <w:szCs w:val="28"/>
          <w:lang w:eastAsia="en-US"/>
        </w:rPr>
      </w:pPr>
      <w:r w:rsidRPr="003B1460">
        <w:rPr>
          <w:rFonts w:eastAsia="Times New Roman"/>
          <w:sz w:val="28"/>
          <w:szCs w:val="28"/>
          <w:lang w:eastAsia="en-US"/>
        </w:rPr>
        <w:t xml:space="preserve">Виходячи з </w:t>
      </w:r>
      <w:proofErr w:type="spellStart"/>
      <w:r w:rsidRPr="003B1460">
        <w:rPr>
          <w:rFonts w:eastAsia="Times New Roman"/>
          <w:sz w:val="28"/>
          <w:szCs w:val="28"/>
          <w:lang w:eastAsia="en-US"/>
        </w:rPr>
        <w:t>фармакоекономічних</w:t>
      </w:r>
      <w:proofErr w:type="spellEnd"/>
      <w:r w:rsidRPr="003B1460">
        <w:rPr>
          <w:rFonts w:eastAsia="Times New Roman"/>
          <w:sz w:val="28"/>
          <w:szCs w:val="28"/>
          <w:lang w:eastAsia="en-US"/>
        </w:rPr>
        <w:t xml:space="preserve"> показників. найдешевшою зареєстрованою формою випуску даних препаратів є </w:t>
      </w:r>
      <w:proofErr w:type="spellStart"/>
      <w:r w:rsidRPr="003B1460">
        <w:rPr>
          <w:rFonts w:eastAsia="Times New Roman"/>
          <w:sz w:val="28"/>
          <w:szCs w:val="28"/>
          <w:lang w:eastAsia="en-US"/>
        </w:rPr>
        <w:t>Соматулін</w:t>
      </w:r>
      <w:proofErr w:type="spellEnd"/>
      <w:r w:rsidRPr="003B1460">
        <w:rPr>
          <w:rFonts w:eastAsia="Times New Roman"/>
          <w:sz w:val="28"/>
          <w:szCs w:val="28"/>
          <w:lang w:eastAsia="en-US"/>
        </w:rPr>
        <w:t xml:space="preserve"> </w:t>
      </w:r>
      <w:proofErr w:type="spellStart"/>
      <w:r w:rsidRPr="003B1460">
        <w:rPr>
          <w:rFonts w:eastAsia="Times New Roman"/>
          <w:sz w:val="28"/>
          <w:szCs w:val="28"/>
          <w:lang w:eastAsia="en-US"/>
        </w:rPr>
        <w:t>Аутожель</w:t>
      </w:r>
      <w:proofErr w:type="spellEnd"/>
      <w:r w:rsidRPr="003B1460">
        <w:rPr>
          <w:rFonts w:eastAsia="Times New Roman"/>
          <w:sz w:val="28"/>
          <w:szCs w:val="28"/>
          <w:lang w:eastAsia="en-US"/>
        </w:rPr>
        <w:t xml:space="preserve"> 120 мг, що вводиться 1 раз у 8 тижнів.</w:t>
      </w:r>
    </w:p>
    <w:p w14:paraId="772D58DE" w14:textId="77777777" w:rsidR="00EE6C94" w:rsidRPr="003B1460" w:rsidRDefault="00934339" w:rsidP="00C16891">
      <w:pPr>
        <w:spacing w:line="240" w:lineRule="auto"/>
        <w:ind w:firstLine="708"/>
        <w:jc w:val="both"/>
        <w:rPr>
          <w:sz w:val="28"/>
          <w:szCs w:val="28"/>
        </w:rPr>
      </w:pPr>
      <w:proofErr w:type="spellStart"/>
      <w:r w:rsidRPr="003B1460">
        <w:rPr>
          <w:b/>
          <w:sz w:val="28"/>
          <w:szCs w:val="28"/>
        </w:rPr>
        <w:t>Фенілкетонурія</w:t>
      </w:r>
      <w:proofErr w:type="spellEnd"/>
      <w:r w:rsidRPr="003B1460">
        <w:rPr>
          <w:b/>
          <w:sz w:val="28"/>
          <w:szCs w:val="28"/>
        </w:rPr>
        <w:t xml:space="preserve"> (ФКУ)</w:t>
      </w:r>
      <w:r w:rsidRPr="003B1460">
        <w:rPr>
          <w:sz w:val="28"/>
          <w:szCs w:val="28"/>
        </w:rPr>
        <w:t xml:space="preserve"> – це важке спадкове порушення обміну амінокислот з </w:t>
      </w:r>
      <w:proofErr w:type="spellStart"/>
      <w:r w:rsidRPr="003B1460">
        <w:rPr>
          <w:sz w:val="28"/>
          <w:szCs w:val="28"/>
        </w:rPr>
        <w:t>аутосомно-рецесивним</w:t>
      </w:r>
      <w:proofErr w:type="spellEnd"/>
      <w:r w:rsidRPr="003B1460">
        <w:rPr>
          <w:sz w:val="28"/>
          <w:szCs w:val="28"/>
        </w:rPr>
        <w:t xml:space="preserve"> типом успадкування, яке зустрічається з частотою від 1:6000 до 1:10000 новонароджених. У результаті мутації в гені </w:t>
      </w:r>
      <w:proofErr w:type="spellStart"/>
      <w:r w:rsidRPr="003B1460">
        <w:rPr>
          <w:sz w:val="28"/>
          <w:szCs w:val="28"/>
        </w:rPr>
        <w:t>фенілалнінгідроксилази</w:t>
      </w:r>
      <w:proofErr w:type="spellEnd"/>
      <w:r w:rsidRPr="003B1460">
        <w:rPr>
          <w:sz w:val="28"/>
          <w:szCs w:val="28"/>
        </w:rPr>
        <w:t xml:space="preserve"> виникає порушення процесу утилізації амінокислоти фенілаланіну. Підвищення концентрації фенілаланіну призводить до раннього формування у дітей розумової відсталості помірного або важкого ступеня. ФКУ діагностується при проведенні </w:t>
      </w:r>
      <w:proofErr w:type="spellStart"/>
      <w:r w:rsidRPr="003B1460">
        <w:rPr>
          <w:sz w:val="28"/>
          <w:szCs w:val="28"/>
        </w:rPr>
        <w:t>неонатального</w:t>
      </w:r>
      <w:proofErr w:type="spellEnd"/>
      <w:r w:rsidRPr="003B1460">
        <w:rPr>
          <w:sz w:val="28"/>
          <w:szCs w:val="28"/>
        </w:rPr>
        <w:t xml:space="preserve"> </w:t>
      </w:r>
      <w:proofErr w:type="spellStart"/>
      <w:r w:rsidRPr="003B1460">
        <w:rPr>
          <w:sz w:val="28"/>
          <w:szCs w:val="28"/>
        </w:rPr>
        <w:t>скринінгу</w:t>
      </w:r>
      <w:proofErr w:type="spellEnd"/>
      <w:r w:rsidRPr="003B1460">
        <w:rPr>
          <w:sz w:val="28"/>
          <w:szCs w:val="28"/>
        </w:rPr>
        <w:t xml:space="preserve"> і одразу після підтвердження діагнозу (ре-тест) необхідно призначити лікування (до появи клінічних ознак захворювання). </w:t>
      </w:r>
    </w:p>
    <w:p w14:paraId="21B72FAA" w14:textId="77777777" w:rsidR="00EE6C94" w:rsidRPr="003B1460" w:rsidRDefault="00934339" w:rsidP="00C16891">
      <w:pPr>
        <w:spacing w:line="240" w:lineRule="auto"/>
        <w:jc w:val="both"/>
        <w:rPr>
          <w:sz w:val="28"/>
          <w:szCs w:val="28"/>
        </w:rPr>
      </w:pPr>
      <w:r w:rsidRPr="003B1460">
        <w:rPr>
          <w:sz w:val="28"/>
          <w:szCs w:val="28"/>
        </w:rPr>
        <w:t xml:space="preserve"> </w:t>
      </w:r>
      <w:r w:rsidRPr="003B1460">
        <w:rPr>
          <w:sz w:val="28"/>
          <w:szCs w:val="28"/>
        </w:rPr>
        <w:tab/>
        <w:t>Єдиним і ефективним методом лікування ФКУ є дієтотерапія з використанням лікувальних продуктів без фенілаланіну, але з повноцінним вмістом інших амінокислот, що дозволяє збалансувати відсутність в раціоні дітей з ФКУ ту кількість білка натурального походження, яку необхідно вилучити, щоб запобігати розвитку захворювання.</w:t>
      </w:r>
    </w:p>
    <w:p w14:paraId="0BAC5FB5" w14:textId="77777777" w:rsidR="00EE6C94" w:rsidRPr="003B1460" w:rsidRDefault="00934339" w:rsidP="00C16891">
      <w:pPr>
        <w:spacing w:line="240" w:lineRule="auto"/>
        <w:jc w:val="both"/>
        <w:rPr>
          <w:sz w:val="28"/>
          <w:szCs w:val="28"/>
        </w:rPr>
      </w:pPr>
      <w:r w:rsidRPr="003B1460">
        <w:rPr>
          <w:sz w:val="28"/>
          <w:szCs w:val="28"/>
        </w:rPr>
        <w:lastRenderedPageBreak/>
        <w:t xml:space="preserve"> </w:t>
      </w:r>
      <w:r w:rsidRPr="003B1460">
        <w:rPr>
          <w:sz w:val="28"/>
          <w:szCs w:val="28"/>
        </w:rPr>
        <w:tab/>
        <w:t xml:space="preserve">Спеціальні продукти лікувального харчування – це гідролізати білка.  Дієтотерапія направлена на корекцію патологічних симптомів з боку органів та систем та підтримку відповідної якості життя; повинна розпочатись своєчасно і проводитись регулярно з жорстким дотриманням розрахунків вікової потреби в білку залежно від віку та ваги дитини, під наглядом лікаря генетика. Хворі повинні отримувати лікувальне харчування від моменту діагностики при </w:t>
      </w:r>
      <w:proofErr w:type="spellStart"/>
      <w:r w:rsidRPr="003B1460">
        <w:rPr>
          <w:sz w:val="28"/>
          <w:szCs w:val="28"/>
        </w:rPr>
        <w:t>неонатальному</w:t>
      </w:r>
      <w:proofErr w:type="spellEnd"/>
      <w:r w:rsidRPr="003B1460">
        <w:rPr>
          <w:sz w:val="28"/>
          <w:szCs w:val="28"/>
        </w:rPr>
        <w:t xml:space="preserve"> </w:t>
      </w:r>
      <w:proofErr w:type="spellStart"/>
      <w:r w:rsidRPr="003B1460">
        <w:rPr>
          <w:sz w:val="28"/>
          <w:szCs w:val="28"/>
        </w:rPr>
        <w:t>скринінгу</w:t>
      </w:r>
      <w:proofErr w:type="spellEnd"/>
      <w:r w:rsidRPr="003B1460">
        <w:rPr>
          <w:sz w:val="28"/>
          <w:szCs w:val="28"/>
        </w:rPr>
        <w:t>, протягом всього періоду дитинства, в підлітковому та дорослому віці, що дозволяє інтегрувати людину в повноцінне суспільне життя.</w:t>
      </w:r>
    </w:p>
    <w:p w14:paraId="6EE05926" w14:textId="77777777" w:rsidR="00EE6C94" w:rsidRPr="003B1460" w:rsidRDefault="00934339" w:rsidP="00C16891">
      <w:pPr>
        <w:spacing w:line="240" w:lineRule="auto"/>
        <w:jc w:val="both"/>
        <w:rPr>
          <w:sz w:val="28"/>
          <w:szCs w:val="28"/>
        </w:rPr>
      </w:pPr>
      <w:r w:rsidRPr="003B1460">
        <w:rPr>
          <w:sz w:val="28"/>
          <w:szCs w:val="28"/>
        </w:rPr>
        <w:t xml:space="preserve"> </w:t>
      </w:r>
      <w:r w:rsidRPr="003B1460">
        <w:rPr>
          <w:sz w:val="28"/>
          <w:szCs w:val="28"/>
        </w:rPr>
        <w:tab/>
        <w:t xml:space="preserve">Несвоєчасний початок отримання лікувального харчування або нерегулярне вживання його призводять до тяжкої </w:t>
      </w:r>
      <w:proofErr w:type="spellStart"/>
      <w:r w:rsidRPr="003B1460">
        <w:rPr>
          <w:sz w:val="28"/>
          <w:szCs w:val="28"/>
        </w:rPr>
        <w:t>інвалідизації</w:t>
      </w:r>
      <w:proofErr w:type="spellEnd"/>
      <w:r w:rsidRPr="003B1460">
        <w:rPr>
          <w:sz w:val="28"/>
          <w:szCs w:val="28"/>
        </w:rPr>
        <w:t xml:space="preserve"> дитини з неможливістю її наступної медико-соціальної реабілітації.</w:t>
      </w:r>
    </w:p>
    <w:p w14:paraId="2FC90210" w14:textId="77777777" w:rsidR="00EE6C94" w:rsidRPr="003B1460" w:rsidRDefault="00934339" w:rsidP="00C16891">
      <w:pPr>
        <w:spacing w:line="240" w:lineRule="auto"/>
        <w:ind w:firstLine="708"/>
        <w:jc w:val="both"/>
        <w:rPr>
          <w:bCs/>
          <w:sz w:val="28"/>
          <w:szCs w:val="28"/>
        </w:rPr>
      </w:pPr>
      <w:r w:rsidRPr="003B1460">
        <w:rPr>
          <w:sz w:val="28"/>
          <w:szCs w:val="28"/>
        </w:rPr>
        <w:t>Формування потреби в лікувальному харчуванні відбувається з використанням Уніфікованого клінічного протоколу первинної, вторинної (спеціалізованої) та третинної (високоспеціалізованої) медичної допомоги «</w:t>
      </w:r>
      <w:proofErr w:type="spellStart"/>
      <w:r w:rsidRPr="003B1460">
        <w:rPr>
          <w:sz w:val="28"/>
          <w:szCs w:val="28"/>
        </w:rPr>
        <w:t>Фенілкетонурія</w:t>
      </w:r>
      <w:proofErr w:type="spellEnd"/>
      <w:r w:rsidRPr="003B1460">
        <w:rPr>
          <w:sz w:val="28"/>
          <w:szCs w:val="28"/>
        </w:rPr>
        <w:t xml:space="preserve"> та інші </w:t>
      </w:r>
      <w:proofErr w:type="spellStart"/>
      <w:r w:rsidRPr="003B1460">
        <w:rPr>
          <w:sz w:val="28"/>
          <w:szCs w:val="28"/>
        </w:rPr>
        <w:t>гіперфенілалнінемії</w:t>
      </w:r>
      <w:proofErr w:type="spellEnd"/>
      <w:r w:rsidRPr="003B1460">
        <w:rPr>
          <w:sz w:val="28"/>
          <w:szCs w:val="28"/>
        </w:rPr>
        <w:t xml:space="preserve">», затвердженого наказом Міністерства охорони здоров’я України від 19 листопада 2015 року № 760 та </w:t>
      </w:r>
      <w:r w:rsidRPr="003B1460">
        <w:rPr>
          <w:bCs/>
          <w:sz w:val="28"/>
          <w:szCs w:val="28"/>
          <w:lang w:eastAsia="ru-RU"/>
        </w:rPr>
        <w:t xml:space="preserve">«Методичних рекомендацій планування та розрахунку потреби у продуктах </w:t>
      </w:r>
      <w:r w:rsidRPr="003B1460">
        <w:rPr>
          <w:sz w:val="28"/>
          <w:szCs w:val="28"/>
        </w:rPr>
        <w:t xml:space="preserve">спеціального харчування для лікування хворих на </w:t>
      </w:r>
      <w:proofErr w:type="spellStart"/>
      <w:r w:rsidRPr="003B1460">
        <w:rPr>
          <w:sz w:val="28"/>
          <w:szCs w:val="28"/>
        </w:rPr>
        <w:t>фенілкетонурію</w:t>
      </w:r>
      <w:proofErr w:type="spellEnd"/>
      <w:r w:rsidRPr="003B1460">
        <w:rPr>
          <w:sz w:val="28"/>
          <w:szCs w:val="28"/>
        </w:rPr>
        <w:t>», затверджених наказом МОЗ України від 17.12.2019 № 2498  «</w:t>
      </w:r>
      <w:r w:rsidRPr="003B1460">
        <w:rPr>
          <w:bCs/>
          <w:sz w:val="28"/>
          <w:szCs w:val="28"/>
        </w:rPr>
        <w:t xml:space="preserve">Про затвердження методичних рекомендацій з планування та розрахунку потреби в лікарських засобах, продуктах спеціального харчування та виробах медичного призначення, що </w:t>
      </w:r>
      <w:proofErr w:type="spellStart"/>
      <w:r w:rsidRPr="003B1460">
        <w:rPr>
          <w:bCs/>
          <w:sz w:val="28"/>
          <w:szCs w:val="28"/>
        </w:rPr>
        <w:t>закуповуються</w:t>
      </w:r>
      <w:proofErr w:type="spellEnd"/>
      <w:r w:rsidRPr="003B1460">
        <w:rPr>
          <w:bCs/>
          <w:sz w:val="28"/>
          <w:szCs w:val="28"/>
        </w:rPr>
        <w:t xml:space="preserve"> за рахунок коштів державного та місцевого бюджетів».</w:t>
      </w:r>
    </w:p>
    <w:p w14:paraId="4D60F202" w14:textId="77777777" w:rsidR="00EE6C94" w:rsidRPr="003B1460" w:rsidRDefault="00934339" w:rsidP="00C16891">
      <w:pPr>
        <w:spacing w:line="240" w:lineRule="auto"/>
        <w:ind w:firstLine="708"/>
        <w:jc w:val="both"/>
        <w:rPr>
          <w:bCs/>
          <w:sz w:val="28"/>
          <w:szCs w:val="28"/>
        </w:rPr>
      </w:pPr>
      <w:r w:rsidRPr="003B1460">
        <w:rPr>
          <w:bCs/>
          <w:sz w:val="28"/>
          <w:szCs w:val="28"/>
        </w:rPr>
        <w:t>До віку 3-х років (11 місяців) забезпечення лікувальним харчуванням відбувається за  рахунок коштів державного бюджету. З віку 3-х років (3 роки 11 місяців) – за рахунок місцевих бюджетів.</w:t>
      </w:r>
    </w:p>
    <w:p w14:paraId="1B311A89" w14:textId="77777777" w:rsidR="00EE6C94" w:rsidRPr="003B1460" w:rsidRDefault="00934339" w:rsidP="00C16891">
      <w:pPr>
        <w:spacing w:line="240" w:lineRule="auto"/>
        <w:ind w:firstLine="709"/>
        <w:jc w:val="both"/>
        <w:rPr>
          <w:sz w:val="28"/>
          <w:szCs w:val="28"/>
        </w:rPr>
      </w:pPr>
      <w:r w:rsidRPr="003B1460">
        <w:rPr>
          <w:bCs/>
          <w:sz w:val="28"/>
          <w:szCs w:val="28"/>
        </w:rPr>
        <w:t>Середньорічна потреба в лікувальному білку розрахована в залежності від вікової категорії хворих.</w:t>
      </w:r>
    </w:p>
    <w:p w14:paraId="45D3AB26" w14:textId="77777777" w:rsidR="00EE6C94" w:rsidRPr="003B1460" w:rsidRDefault="00934339" w:rsidP="00C16891">
      <w:pPr>
        <w:spacing w:line="240" w:lineRule="auto"/>
        <w:ind w:firstLine="709"/>
        <w:jc w:val="both"/>
        <w:rPr>
          <w:sz w:val="28"/>
          <w:szCs w:val="28"/>
        </w:rPr>
      </w:pPr>
      <w:proofErr w:type="spellStart"/>
      <w:r w:rsidRPr="003B1460">
        <w:rPr>
          <w:b/>
          <w:sz w:val="28"/>
          <w:szCs w:val="28"/>
        </w:rPr>
        <w:t>Анкілозуючий</w:t>
      </w:r>
      <w:proofErr w:type="spellEnd"/>
      <w:r w:rsidRPr="003B1460">
        <w:rPr>
          <w:b/>
          <w:sz w:val="28"/>
          <w:szCs w:val="28"/>
        </w:rPr>
        <w:t xml:space="preserve"> спондилоартрит</w:t>
      </w:r>
      <w:r w:rsidRPr="003B1460">
        <w:rPr>
          <w:sz w:val="28"/>
          <w:szCs w:val="28"/>
        </w:rPr>
        <w:t xml:space="preserve">.  Група </w:t>
      </w:r>
      <w:proofErr w:type="spellStart"/>
      <w:r w:rsidRPr="003B1460">
        <w:rPr>
          <w:sz w:val="28"/>
          <w:szCs w:val="28"/>
        </w:rPr>
        <w:t>спондилоартропатій</w:t>
      </w:r>
      <w:proofErr w:type="spellEnd"/>
      <w:r w:rsidRPr="003B1460">
        <w:rPr>
          <w:sz w:val="28"/>
          <w:szCs w:val="28"/>
        </w:rPr>
        <w:t xml:space="preserve">, в тому числі, </w:t>
      </w:r>
      <w:proofErr w:type="spellStart"/>
      <w:r w:rsidRPr="003B1460">
        <w:rPr>
          <w:sz w:val="28"/>
          <w:szCs w:val="28"/>
        </w:rPr>
        <w:t>Анкілозуючий</w:t>
      </w:r>
      <w:proofErr w:type="spellEnd"/>
      <w:r w:rsidRPr="003B1460">
        <w:rPr>
          <w:sz w:val="28"/>
          <w:szCs w:val="28"/>
        </w:rPr>
        <w:t xml:space="preserve"> спондилоартрит  – це група захворювань, яка обмежує рухливість пацієнта та призводить до </w:t>
      </w:r>
      <w:proofErr w:type="spellStart"/>
      <w:r w:rsidRPr="003B1460">
        <w:rPr>
          <w:sz w:val="28"/>
          <w:szCs w:val="28"/>
        </w:rPr>
        <w:t>інвалідизації</w:t>
      </w:r>
      <w:proofErr w:type="spellEnd"/>
      <w:r w:rsidRPr="003B1460">
        <w:rPr>
          <w:sz w:val="28"/>
          <w:szCs w:val="28"/>
        </w:rPr>
        <w:t xml:space="preserve"> в залежності від швидкості прогресування. </w:t>
      </w:r>
      <w:proofErr w:type="spellStart"/>
      <w:r w:rsidRPr="003B1460">
        <w:rPr>
          <w:sz w:val="28"/>
          <w:szCs w:val="28"/>
        </w:rPr>
        <w:t>Нестероїдні</w:t>
      </w:r>
      <w:proofErr w:type="spellEnd"/>
      <w:r w:rsidRPr="003B1460">
        <w:rPr>
          <w:sz w:val="28"/>
          <w:szCs w:val="28"/>
        </w:rPr>
        <w:t xml:space="preserve"> протизапальні препарати та </w:t>
      </w:r>
      <w:proofErr w:type="spellStart"/>
      <w:r w:rsidRPr="003B1460">
        <w:rPr>
          <w:sz w:val="28"/>
          <w:szCs w:val="28"/>
        </w:rPr>
        <w:t>кортикостероїдні</w:t>
      </w:r>
      <w:proofErr w:type="spellEnd"/>
      <w:r w:rsidRPr="003B1460">
        <w:rPr>
          <w:sz w:val="28"/>
          <w:szCs w:val="28"/>
        </w:rPr>
        <w:t xml:space="preserve"> препарати не контролюють процес  та можуть призводити до серйозних побічних ускладнень. Для досягнення ремісії або контролю прогресу захворювання ефективними препаратами є: </w:t>
      </w:r>
      <w:proofErr w:type="spellStart"/>
      <w:r w:rsidRPr="003B1460">
        <w:rPr>
          <w:sz w:val="28"/>
          <w:szCs w:val="28"/>
        </w:rPr>
        <w:t>Інфліксимаб</w:t>
      </w:r>
      <w:proofErr w:type="spellEnd"/>
      <w:r w:rsidRPr="003B1460">
        <w:rPr>
          <w:sz w:val="28"/>
          <w:szCs w:val="28"/>
        </w:rPr>
        <w:t xml:space="preserve">, </w:t>
      </w:r>
      <w:proofErr w:type="spellStart"/>
      <w:r w:rsidRPr="003B1460">
        <w:rPr>
          <w:sz w:val="28"/>
          <w:szCs w:val="28"/>
        </w:rPr>
        <w:t>Адалімумаб</w:t>
      </w:r>
      <w:proofErr w:type="spellEnd"/>
      <w:r w:rsidRPr="003B1460">
        <w:rPr>
          <w:sz w:val="28"/>
          <w:szCs w:val="28"/>
        </w:rPr>
        <w:t xml:space="preserve">, </w:t>
      </w:r>
      <w:proofErr w:type="spellStart"/>
      <w:r w:rsidRPr="003B1460">
        <w:rPr>
          <w:sz w:val="28"/>
          <w:szCs w:val="28"/>
        </w:rPr>
        <w:t>Етанерцепт</w:t>
      </w:r>
      <w:proofErr w:type="spellEnd"/>
      <w:r w:rsidRPr="003B1460">
        <w:rPr>
          <w:sz w:val="28"/>
          <w:szCs w:val="28"/>
        </w:rPr>
        <w:t xml:space="preserve">. Вказано три препарати для того, аби можна було замінити лікування у пацієнтів, які мають індивідуальну непереносимість або ефект від препарату недостатній. Ці препарати призначаються пацієнтам, у яких підтверджена відсутність туберкульозу, вірусних гепатитів. Пріоритет </w:t>
      </w:r>
      <w:proofErr w:type="spellStart"/>
      <w:r w:rsidRPr="003B1460">
        <w:rPr>
          <w:sz w:val="28"/>
          <w:szCs w:val="28"/>
        </w:rPr>
        <w:t>назначення</w:t>
      </w:r>
      <w:proofErr w:type="spellEnd"/>
      <w:r w:rsidRPr="003B1460">
        <w:rPr>
          <w:sz w:val="28"/>
          <w:szCs w:val="28"/>
        </w:rPr>
        <w:t xml:space="preserve">: молодий вік пацієнтів, швидке прогресування хвороби, неконтрольований больовий синдром, висока активність хвороби.                            </w:t>
      </w:r>
    </w:p>
    <w:p w14:paraId="64599F2E" w14:textId="77777777" w:rsidR="00EE6C94" w:rsidRPr="003B1460" w:rsidRDefault="00934339" w:rsidP="00C16891">
      <w:pPr>
        <w:spacing w:line="240" w:lineRule="auto"/>
        <w:ind w:firstLine="709"/>
        <w:jc w:val="both"/>
        <w:rPr>
          <w:sz w:val="28"/>
          <w:szCs w:val="28"/>
        </w:rPr>
      </w:pPr>
      <w:r w:rsidRPr="003B1460">
        <w:rPr>
          <w:sz w:val="28"/>
          <w:szCs w:val="28"/>
        </w:rPr>
        <w:t>Зазначений перелік захворювань не є вичерпний.</w:t>
      </w:r>
    </w:p>
    <w:p w14:paraId="5D3C8166" w14:textId="77777777" w:rsidR="00EE6C94" w:rsidRPr="003B1460" w:rsidRDefault="00934339" w:rsidP="00C16891">
      <w:pPr>
        <w:spacing w:line="240" w:lineRule="auto"/>
        <w:ind w:firstLine="709"/>
        <w:jc w:val="both"/>
        <w:rPr>
          <w:sz w:val="28"/>
          <w:szCs w:val="28"/>
        </w:rPr>
      </w:pPr>
      <w:r w:rsidRPr="003B1460">
        <w:rPr>
          <w:sz w:val="28"/>
          <w:szCs w:val="28"/>
        </w:rPr>
        <w:t xml:space="preserve">Зважаючи, що </w:t>
      </w:r>
      <w:r w:rsidRPr="003B1460">
        <w:rPr>
          <w:bCs/>
          <w:sz w:val="28"/>
        </w:rPr>
        <w:t>рідкісні (</w:t>
      </w:r>
      <w:proofErr w:type="spellStart"/>
      <w:r w:rsidRPr="003B1460">
        <w:rPr>
          <w:bCs/>
          <w:sz w:val="28"/>
        </w:rPr>
        <w:t>орфанні</w:t>
      </w:r>
      <w:proofErr w:type="spellEnd"/>
      <w:r w:rsidRPr="003B1460">
        <w:rPr>
          <w:bCs/>
          <w:sz w:val="28"/>
        </w:rPr>
        <w:t>) захворювання</w:t>
      </w:r>
      <w:r w:rsidRPr="003B1460">
        <w:rPr>
          <w:bCs/>
          <w:sz w:val="28"/>
          <w:szCs w:val="28"/>
        </w:rPr>
        <w:t>,</w:t>
      </w:r>
      <w:r w:rsidRPr="003B1460">
        <w:rPr>
          <w:sz w:val="28"/>
          <w:szCs w:val="28"/>
        </w:rPr>
        <w:t xml:space="preserve"> несуть на собі загрозу для життя або </w:t>
      </w:r>
      <w:proofErr w:type="spellStart"/>
      <w:r w:rsidRPr="003B1460">
        <w:rPr>
          <w:sz w:val="28"/>
          <w:szCs w:val="28"/>
        </w:rPr>
        <w:t>хронізацію</w:t>
      </w:r>
      <w:proofErr w:type="spellEnd"/>
      <w:r w:rsidRPr="003B1460">
        <w:rPr>
          <w:sz w:val="28"/>
          <w:szCs w:val="28"/>
        </w:rPr>
        <w:t xml:space="preserve"> прогресуючого захворювання, без лікування – ці захворювання призводять до смерті або до </w:t>
      </w:r>
      <w:proofErr w:type="spellStart"/>
      <w:r w:rsidRPr="003B1460">
        <w:rPr>
          <w:sz w:val="28"/>
          <w:szCs w:val="28"/>
        </w:rPr>
        <w:t>інвалідізації</w:t>
      </w:r>
      <w:proofErr w:type="spellEnd"/>
      <w:r w:rsidRPr="003B1460">
        <w:rPr>
          <w:sz w:val="28"/>
          <w:szCs w:val="28"/>
        </w:rPr>
        <w:t xml:space="preserve"> хворого.</w:t>
      </w:r>
    </w:p>
    <w:p w14:paraId="753D1026" w14:textId="77777777" w:rsidR="00EE6C94" w:rsidRPr="003B1460" w:rsidRDefault="00934339" w:rsidP="00C16891">
      <w:pPr>
        <w:spacing w:line="240" w:lineRule="auto"/>
        <w:ind w:firstLine="709"/>
        <w:jc w:val="both"/>
        <w:rPr>
          <w:sz w:val="28"/>
          <w:szCs w:val="28"/>
        </w:rPr>
      </w:pPr>
      <w:r w:rsidRPr="003B1460">
        <w:rPr>
          <w:sz w:val="28"/>
          <w:szCs w:val="28"/>
        </w:rPr>
        <w:lastRenderedPageBreak/>
        <w:t xml:space="preserve">Таким чином, реалізація даної Програми дасть можливість закуповувати лікарські засоби та медичні вироби для пацієнтів із </w:t>
      </w:r>
      <w:proofErr w:type="spellStart"/>
      <w:r w:rsidRPr="003B1460">
        <w:rPr>
          <w:sz w:val="28"/>
          <w:szCs w:val="28"/>
        </w:rPr>
        <w:t>орфанними</w:t>
      </w:r>
      <w:proofErr w:type="spellEnd"/>
      <w:r w:rsidRPr="003B1460">
        <w:rPr>
          <w:sz w:val="28"/>
          <w:szCs w:val="28"/>
        </w:rPr>
        <w:t xml:space="preserve"> захворюваннями за різними  напрямками.</w:t>
      </w:r>
    </w:p>
    <w:p w14:paraId="42A189CD" w14:textId="77777777" w:rsidR="00EE6C94" w:rsidRPr="003B1460" w:rsidRDefault="00934339" w:rsidP="00C16891">
      <w:pPr>
        <w:spacing w:line="240" w:lineRule="auto"/>
        <w:ind w:firstLine="709"/>
        <w:jc w:val="both"/>
        <w:rPr>
          <w:sz w:val="28"/>
          <w:szCs w:val="28"/>
        </w:rPr>
      </w:pPr>
      <w:r w:rsidRPr="003B1460">
        <w:rPr>
          <w:sz w:val="28"/>
          <w:szCs w:val="28"/>
        </w:rPr>
        <w:t>Ресурсне забезпечення Програми наведено у додатку 1.</w:t>
      </w:r>
    </w:p>
    <w:p w14:paraId="4A304B06" w14:textId="77777777" w:rsidR="00EE6C94" w:rsidRPr="003B1460" w:rsidRDefault="00EE6C94" w:rsidP="00C16891">
      <w:pPr>
        <w:spacing w:line="240" w:lineRule="auto"/>
        <w:jc w:val="both"/>
        <w:rPr>
          <w:i/>
          <w:sz w:val="28"/>
          <w:szCs w:val="28"/>
        </w:rPr>
      </w:pPr>
    </w:p>
    <w:p w14:paraId="39BAFEF2" w14:textId="77777777" w:rsidR="00EE6C94" w:rsidRPr="003B1460" w:rsidRDefault="00934339" w:rsidP="00C16891">
      <w:pPr>
        <w:numPr>
          <w:ilvl w:val="0"/>
          <w:numId w:val="1"/>
        </w:numPr>
        <w:spacing w:line="240" w:lineRule="auto"/>
        <w:ind w:left="0" w:firstLine="426"/>
        <w:jc w:val="center"/>
        <w:rPr>
          <w:b/>
          <w:sz w:val="28"/>
          <w:szCs w:val="28"/>
        </w:rPr>
      </w:pPr>
      <w:r w:rsidRPr="003B1460">
        <w:rPr>
          <w:b/>
          <w:sz w:val="28"/>
          <w:szCs w:val="28"/>
        </w:rPr>
        <w:t>Строки та етапи виконання Програми</w:t>
      </w:r>
    </w:p>
    <w:p w14:paraId="55D3549E" w14:textId="77777777" w:rsidR="00EE6C94" w:rsidRPr="003B1460" w:rsidRDefault="00934339" w:rsidP="00C16891">
      <w:pPr>
        <w:spacing w:line="240" w:lineRule="auto"/>
        <w:ind w:firstLine="720"/>
        <w:rPr>
          <w:sz w:val="28"/>
          <w:szCs w:val="28"/>
        </w:rPr>
      </w:pPr>
      <w:r w:rsidRPr="003B1460">
        <w:rPr>
          <w:sz w:val="28"/>
          <w:szCs w:val="28"/>
        </w:rPr>
        <w:t>Заходи Програми реалізуються щорічно протягом 2026-2027 років.</w:t>
      </w:r>
    </w:p>
    <w:p w14:paraId="27620EE9" w14:textId="77777777" w:rsidR="00EE6C94" w:rsidRPr="003B1460" w:rsidRDefault="00EE6C94" w:rsidP="00C16891">
      <w:pPr>
        <w:spacing w:line="240" w:lineRule="auto"/>
        <w:rPr>
          <w:b/>
          <w:sz w:val="28"/>
          <w:szCs w:val="28"/>
        </w:rPr>
      </w:pPr>
    </w:p>
    <w:p w14:paraId="77E2CE7E" w14:textId="0D93DB8E" w:rsidR="00EE6C94" w:rsidRPr="003B1460" w:rsidRDefault="00934339" w:rsidP="00C16891">
      <w:pPr>
        <w:numPr>
          <w:ilvl w:val="0"/>
          <w:numId w:val="1"/>
        </w:numPr>
        <w:spacing w:line="240" w:lineRule="auto"/>
        <w:ind w:left="0"/>
        <w:jc w:val="center"/>
        <w:rPr>
          <w:b/>
          <w:sz w:val="28"/>
          <w:szCs w:val="28"/>
        </w:rPr>
      </w:pPr>
      <w:r w:rsidRPr="003B1460">
        <w:rPr>
          <w:b/>
          <w:sz w:val="28"/>
          <w:szCs w:val="28"/>
        </w:rPr>
        <w:t>Перелік завдань і заходів Програми та результативні показники</w:t>
      </w:r>
    </w:p>
    <w:p w14:paraId="5318AD69" w14:textId="77777777" w:rsidR="00EE6C94" w:rsidRPr="003B1460" w:rsidRDefault="00EE6C94" w:rsidP="00C16891">
      <w:pPr>
        <w:spacing w:line="240" w:lineRule="auto"/>
        <w:rPr>
          <w:b/>
          <w:i/>
          <w:sz w:val="28"/>
          <w:szCs w:val="28"/>
        </w:rPr>
      </w:pPr>
    </w:p>
    <w:p w14:paraId="74C175E0" w14:textId="77777777" w:rsidR="00EE6C94" w:rsidRPr="003B1460" w:rsidRDefault="00934339" w:rsidP="00C16891">
      <w:pPr>
        <w:spacing w:line="240" w:lineRule="auto"/>
        <w:ind w:firstLine="720"/>
        <w:jc w:val="both"/>
        <w:rPr>
          <w:sz w:val="28"/>
          <w:szCs w:val="28"/>
          <w:highlight w:val="yellow"/>
        </w:rPr>
      </w:pPr>
      <w:r w:rsidRPr="003B1460">
        <w:rPr>
          <w:sz w:val="28"/>
          <w:szCs w:val="28"/>
        </w:rPr>
        <w:t>Для досягнення визначеної цією Програмою мети необхідно забезпечити реалізацію наступних завдань:</w:t>
      </w:r>
    </w:p>
    <w:p w14:paraId="3CD3FF52" w14:textId="77777777" w:rsidR="00EE6C94" w:rsidRPr="003B1460" w:rsidRDefault="00934339" w:rsidP="00C16891">
      <w:pPr>
        <w:spacing w:line="240" w:lineRule="auto"/>
        <w:ind w:firstLine="720"/>
        <w:jc w:val="both"/>
        <w:rPr>
          <w:sz w:val="28"/>
          <w:szCs w:val="28"/>
        </w:rPr>
      </w:pPr>
      <w:r w:rsidRPr="003B1460">
        <w:rPr>
          <w:sz w:val="28"/>
          <w:szCs w:val="28"/>
        </w:rPr>
        <w:t xml:space="preserve">зниження рівня смертності від </w:t>
      </w:r>
      <w:proofErr w:type="spellStart"/>
      <w:r w:rsidRPr="003B1460">
        <w:rPr>
          <w:sz w:val="28"/>
          <w:szCs w:val="28"/>
        </w:rPr>
        <w:t>орфанних</w:t>
      </w:r>
      <w:proofErr w:type="spellEnd"/>
      <w:r w:rsidRPr="003B1460">
        <w:rPr>
          <w:sz w:val="28"/>
          <w:szCs w:val="28"/>
        </w:rPr>
        <w:t xml:space="preserve"> захворювань серед населення району;</w:t>
      </w:r>
    </w:p>
    <w:p w14:paraId="2BF6CAD3" w14:textId="77777777" w:rsidR="00EE6C94" w:rsidRPr="003B1460" w:rsidRDefault="00934339" w:rsidP="00C16891">
      <w:pPr>
        <w:spacing w:line="240" w:lineRule="auto"/>
        <w:ind w:firstLine="720"/>
        <w:jc w:val="both"/>
        <w:rPr>
          <w:sz w:val="28"/>
          <w:szCs w:val="28"/>
        </w:rPr>
      </w:pPr>
      <w:r w:rsidRPr="003B1460">
        <w:rPr>
          <w:sz w:val="28"/>
          <w:szCs w:val="28"/>
        </w:rPr>
        <w:t xml:space="preserve">уповільнення темпів розвитку клініки, а відповідно і розладів </w:t>
      </w:r>
      <w:proofErr w:type="spellStart"/>
      <w:r w:rsidRPr="003B1460">
        <w:rPr>
          <w:sz w:val="28"/>
          <w:szCs w:val="28"/>
        </w:rPr>
        <w:t>здоровʼя</w:t>
      </w:r>
      <w:proofErr w:type="spellEnd"/>
      <w:r w:rsidRPr="003B1460">
        <w:rPr>
          <w:sz w:val="28"/>
          <w:szCs w:val="28"/>
        </w:rPr>
        <w:t xml:space="preserve"> хворих даного профілю за рахунок замісної терапії</w:t>
      </w:r>
    </w:p>
    <w:p w14:paraId="35CFD8EB" w14:textId="77777777" w:rsidR="00EE6C94" w:rsidRPr="003B1460" w:rsidRDefault="00934339" w:rsidP="00C16891">
      <w:pPr>
        <w:spacing w:line="240" w:lineRule="auto"/>
        <w:ind w:firstLine="720"/>
        <w:jc w:val="both"/>
        <w:rPr>
          <w:sz w:val="28"/>
          <w:szCs w:val="28"/>
        </w:rPr>
      </w:pPr>
      <w:r w:rsidRPr="003B1460">
        <w:rPr>
          <w:sz w:val="28"/>
          <w:szCs w:val="28"/>
        </w:rPr>
        <w:t xml:space="preserve">Замісна гормонотерапія хворим з передчасним статевим дозріванням, </w:t>
      </w:r>
      <w:proofErr w:type="spellStart"/>
      <w:r w:rsidRPr="003B1460">
        <w:rPr>
          <w:sz w:val="28"/>
          <w:szCs w:val="28"/>
        </w:rPr>
        <w:t>ферментозамісна</w:t>
      </w:r>
      <w:proofErr w:type="spellEnd"/>
      <w:r w:rsidRPr="003B1460">
        <w:rPr>
          <w:sz w:val="28"/>
          <w:szCs w:val="28"/>
        </w:rPr>
        <w:t xml:space="preserve"> терапія та інгаляційні препарати для дітей з </w:t>
      </w:r>
      <w:proofErr w:type="spellStart"/>
      <w:r w:rsidRPr="003B1460">
        <w:rPr>
          <w:sz w:val="28"/>
          <w:szCs w:val="28"/>
        </w:rPr>
        <w:t>муковісцидозом</w:t>
      </w:r>
      <w:proofErr w:type="spellEnd"/>
      <w:r w:rsidRPr="003B1460">
        <w:rPr>
          <w:sz w:val="28"/>
          <w:szCs w:val="28"/>
        </w:rPr>
        <w:t xml:space="preserve">, </w:t>
      </w:r>
      <w:proofErr w:type="spellStart"/>
      <w:r w:rsidRPr="003B1460">
        <w:rPr>
          <w:sz w:val="28"/>
          <w:szCs w:val="28"/>
        </w:rPr>
        <w:t>протисудомна</w:t>
      </w:r>
      <w:proofErr w:type="spellEnd"/>
      <w:r w:rsidRPr="003B1460">
        <w:rPr>
          <w:sz w:val="28"/>
          <w:szCs w:val="28"/>
        </w:rPr>
        <w:t xml:space="preserve"> терапія дітей з </w:t>
      </w:r>
      <w:proofErr w:type="spellStart"/>
      <w:r w:rsidRPr="003B1460">
        <w:rPr>
          <w:sz w:val="28"/>
          <w:szCs w:val="28"/>
        </w:rPr>
        <w:t>фармакорезистентною</w:t>
      </w:r>
      <w:proofErr w:type="spellEnd"/>
      <w:r w:rsidRPr="003B1460">
        <w:rPr>
          <w:sz w:val="28"/>
          <w:szCs w:val="28"/>
        </w:rPr>
        <w:t xml:space="preserve"> епілепсією, замісна терапія для дітей із </w:t>
      </w:r>
      <w:proofErr w:type="spellStart"/>
      <w:r w:rsidRPr="003B1460">
        <w:rPr>
          <w:sz w:val="28"/>
          <w:szCs w:val="28"/>
        </w:rPr>
        <w:t>спінальною</w:t>
      </w:r>
      <w:proofErr w:type="spellEnd"/>
      <w:r w:rsidRPr="003B1460">
        <w:rPr>
          <w:sz w:val="28"/>
          <w:szCs w:val="28"/>
        </w:rPr>
        <w:t xml:space="preserve"> </w:t>
      </w:r>
      <w:proofErr w:type="spellStart"/>
      <w:r w:rsidRPr="003B1460">
        <w:rPr>
          <w:sz w:val="28"/>
          <w:szCs w:val="28"/>
        </w:rPr>
        <w:t>мʼязевою</w:t>
      </w:r>
      <w:proofErr w:type="spellEnd"/>
      <w:r w:rsidRPr="003B1460">
        <w:rPr>
          <w:sz w:val="28"/>
          <w:szCs w:val="28"/>
        </w:rPr>
        <w:t xml:space="preserve"> атаксією, </w:t>
      </w:r>
      <w:proofErr w:type="spellStart"/>
      <w:r w:rsidRPr="003B1460">
        <w:rPr>
          <w:sz w:val="28"/>
          <w:szCs w:val="28"/>
        </w:rPr>
        <w:t>імунодепресанти</w:t>
      </w:r>
      <w:proofErr w:type="spellEnd"/>
      <w:r w:rsidRPr="003B1460">
        <w:rPr>
          <w:sz w:val="28"/>
          <w:szCs w:val="28"/>
        </w:rPr>
        <w:t xml:space="preserve"> для дітей з  ювенільним </w:t>
      </w:r>
      <w:proofErr w:type="spellStart"/>
      <w:r w:rsidRPr="003B1460">
        <w:rPr>
          <w:sz w:val="28"/>
          <w:szCs w:val="28"/>
        </w:rPr>
        <w:t>ревматоїдним</w:t>
      </w:r>
      <w:proofErr w:type="spellEnd"/>
      <w:r w:rsidRPr="003B1460">
        <w:rPr>
          <w:sz w:val="28"/>
          <w:szCs w:val="28"/>
        </w:rPr>
        <w:t xml:space="preserve"> артритом, лікувальне харчування дітей з </w:t>
      </w:r>
      <w:proofErr w:type="spellStart"/>
      <w:r w:rsidRPr="003B1460">
        <w:rPr>
          <w:sz w:val="28"/>
          <w:szCs w:val="28"/>
        </w:rPr>
        <w:t>фенілкетонурією</w:t>
      </w:r>
      <w:proofErr w:type="spellEnd"/>
      <w:r w:rsidRPr="003B1460">
        <w:rPr>
          <w:sz w:val="28"/>
          <w:szCs w:val="28"/>
        </w:rPr>
        <w:t xml:space="preserve">, а також придбання ШВЛ для дітей з  прогресуючою </w:t>
      </w:r>
      <w:proofErr w:type="spellStart"/>
      <w:r w:rsidRPr="003B1460">
        <w:rPr>
          <w:sz w:val="28"/>
          <w:szCs w:val="28"/>
        </w:rPr>
        <w:t>м`язевою</w:t>
      </w:r>
      <w:proofErr w:type="spellEnd"/>
      <w:r w:rsidRPr="003B1460">
        <w:rPr>
          <w:sz w:val="28"/>
          <w:szCs w:val="28"/>
        </w:rPr>
        <w:t xml:space="preserve"> дистрофією призведуть до уповільнення прогресування захворювань, подовження тривалості та  покращення якості життя хворих.</w:t>
      </w:r>
    </w:p>
    <w:p w14:paraId="01C1882A" w14:textId="77777777" w:rsidR="00EE6C94" w:rsidRPr="003B1460" w:rsidRDefault="00EE6C94" w:rsidP="00C16891">
      <w:pPr>
        <w:spacing w:line="240" w:lineRule="auto"/>
        <w:ind w:firstLine="720"/>
        <w:jc w:val="both"/>
        <w:rPr>
          <w:sz w:val="28"/>
          <w:szCs w:val="28"/>
        </w:rPr>
      </w:pPr>
    </w:p>
    <w:p w14:paraId="78917019" w14:textId="72449058" w:rsidR="00EE6C94" w:rsidRPr="003B1460" w:rsidRDefault="00934339" w:rsidP="00C16891">
      <w:pPr>
        <w:numPr>
          <w:ilvl w:val="0"/>
          <w:numId w:val="1"/>
        </w:numPr>
        <w:tabs>
          <w:tab w:val="left" w:pos="284"/>
        </w:tabs>
        <w:spacing w:line="240" w:lineRule="auto"/>
        <w:ind w:left="0" w:firstLine="0"/>
        <w:jc w:val="center"/>
        <w:rPr>
          <w:b/>
          <w:sz w:val="28"/>
          <w:szCs w:val="28"/>
        </w:rPr>
      </w:pPr>
      <w:r w:rsidRPr="003B1460">
        <w:rPr>
          <w:b/>
          <w:sz w:val="28"/>
          <w:szCs w:val="28"/>
        </w:rPr>
        <w:t>Напрями</w:t>
      </w:r>
      <w:r w:rsidR="003B1460" w:rsidRPr="003B1460">
        <w:rPr>
          <w:b/>
          <w:sz w:val="28"/>
          <w:szCs w:val="28"/>
        </w:rPr>
        <w:t xml:space="preserve"> діяльності та заходи Програми </w:t>
      </w:r>
    </w:p>
    <w:p w14:paraId="7E865BCD" w14:textId="77777777" w:rsidR="00EE6C94" w:rsidRPr="003B1460" w:rsidRDefault="00EE6C94" w:rsidP="00C16891">
      <w:pPr>
        <w:tabs>
          <w:tab w:val="left" w:pos="284"/>
        </w:tabs>
        <w:spacing w:line="240" w:lineRule="auto"/>
        <w:jc w:val="center"/>
        <w:rPr>
          <w:i/>
          <w:sz w:val="28"/>
          <w:szCs w:val="28"/>
        </w:rPr>
      </w:pPr>
    </w:p>
    <w:p w14:paraId="037CCDD3" w14:textId="77777777" w:rsidR="00EE6C94" w:rsidRPr="003B1460" w:rsidRDefault="00934339" w:rsidP="00C16891">
      <w:pPr>
        <w:numPr>
          <w:ilvl w:val="0"/>
          <w:numId w:val="1"/>
        </w:numPr>
        <w:tabs>
          <w:tab w:val="left" w:pos="284"/>
        </w:tabs>
        <w:spacing w:line="240" w:lineRule="auto"/>
        <w:ind w:left="0" w:firstLine="0"/>
        <w:jc w:val="center"/>
        <w:rPr>
          <w:b/>
          <w:sz w:val="28"/>
          <w:szCs w:val="28"/>
        </w:rPr>
      </w:pPr>
      <w:r w:rsidRPr="003B1460">
        <w:rPr>
          <w:b/>
          <w:sz w:val="28"/>
          <w:szCs w:val="28"/>
        </w:rPr>
        <w:t>Координація та  контроль за ходом виконання Програми</w:t>
      </w:r>
    </w:p>
    <w:p w14:paraId="65F0BEFD" w14:textId="77777777" w:rsidR="00EE6C94" w:rsidRPr="003B1460" w:rsidRDefault="00934339" w:rsidP="00C16891">
      <w:pPr>
        <w:spacing w:line="240" w:lineRule="auto"/>
        <w:ind w:firstLine="708"/>
        <w:jc w:val="both"/>
        <w:rPr>
          <w:sz w:val="28"/>
        </w:rPr>
      </w:pPr>
      <w:proofErr w:type="spellStart"/>
      <w:r w:rsidRPr="003B1460">
        <w:rPr>
          <w:sz w:val="28"/>
        </w:rPr>
        <w:t>Кординація</w:t>
      </w:r>
      <w:proofErr w:type="spellEnd"/>
      <w:r w:rsidRPr="003B1460">
        <w:rPr>
          <w:sz w:val="28"/>
        </w:rPr>
        <w:t xml:space="preserve"> та контроль за ходом виконання Програми здійснюється КНП «Рахівська РЛ» .</w:t>
      </w:r>
    </w:p>
    <w:p w14:paraId="5FDBD79C" w14:textId="77777777" w:rsidR="00EE6C94" w:rsidRPr="003B1460" w:rsidRDefault="00EE6C94" w:rsidP="00C16891">
      <w:pPr>
        <w:spacing w:line="240" w:lineRule="auto"/>
        <w:jc w:val="both"/>
        <w:rPr>
          <w:sz w:val="26"/>
        </w:rPr>
      </w:pPr>
    </w:p>
    <w:p w14:paraId="0FEB6480" w14:textId="77777777" w:rsidR="00EE6C94" w:rsidRPr="003B1460" w:rsidRDefault="00EE6C94" w:rsidP="008B2DA7">
      <w:pPr>
        <w:spacing w:line="240" w:lineRule="auto"/>
        <w:rPr>
          <w:b/>
          <w:sz w:val="32"/>
          <w:szCs w:val="32"/>
        </w:rPr>
      </w:pPr>
    </w:p>
    <w:p w14:paraId="3A50F2E8" w14:textId="77777777" w:rsidR="00E43313" w:rsidRPr="003B1460" w:rsidRDefault="00E43313" w:rsidP="008B2DA7">
      <w:pPr>
        <w:spacing w:line="240" w:lineRule="auto"/>
        <w:rPr>
          <w:b/>
          <w:sz w:val="32"/>
          <w:szCs w:val="32"/>
        </w:rPr>
      </w:pPr>
    </w:p>
    <w:p w14:paraId="2440FF02" w14:textId="77777777" w:rsidR="00E43313" w:rsidRPr="003B1460" w:rsidRDefault="00E43313" w:rsidP="008B2DA7">
      <w:pPr>
        <w:spacing w:line="240" w:lineRule="auto"/>
        <w:rPr>
          <w:b/>
          <w:sz w:val="32"/>
          <w:szCs w:val="32"/>
        </w:rPr>
      </w:pPr>
    </w:p>
    <w:p w14:paraId="1DF06922" w14:textId="77777777" w:rsidR="00EE6C94" w:rsidRPr="003B1460" w:rsidRDefault="00EE6C94" w:rsidP="008B2DA7">
      <w:pPr>
        <w:spacing w:line="240" w:lineRule="auto"/>
        <w:rPr>
          <w:b/>
          <w:sz w:val="32"/>
          <w:szCs w:val="32"/>
        </w:rPr>
      </w:pPr>
    </w:p>
    <w:p w14:paraId="2AFDEE5B" w14:textId="77777777" w:rsidR="00EE6C94" w:rsidRPr="003B1460" w:rsidRDefault="00EE6C94" w:rsidP="008B2DA7">
      <w:pPr>
        <w:spacing w:line="240" w:lineRule="auto"/>
        <w:rPr>
          <w:sz w:val="26"/>
        </w:rPr>
        <w:sectPr w:rsidR="00EE6C94" w:rsidRPr="003B1460" w:rsidSect="0049270E">
          <w:pgSz w:w="11906" w:h="16838"/>
          <w:pgMar w:top="709" w:right="851" w:bottom="709" w:left="1701" w:header="709" w:footer="709" w:gutter="0"/>
          <w:cols w:space="708"/>
          <w:titlePg/>
          <w:docGrid w:linePitch="360"/>
        </w:sectPr>
      </w:pPr>
    </w:p>
    <w:p w14:paraId="5401AF49" w14:textId="3D85B00D" w:rsidR="00EE6C94" w:rsidRPr="003B1460" w:rsidRDefault="00934339" w:rsidP="00C16891">
      <w:pPr>
        <w:spacing w:line="240" w:lineRule="auto"/>
        <w:rPr>
          <w:b/>
          <w:sz w:val="28"/>
        </w:rPr>
      </w:pPr>
      <w:r w:rsidRPr="003B1460">
        <w:rPr>
          <w:b/>
          <w:sz w:val="28"/>
        </w:rPr>
        <w:lastRenderedPageBreak/>
        <w:t xml:space="preserve"> </w:t>
      </w:r>
      <w:r w:rsidR="0099334E" w:rsidRPr="003B1460">
        <w:rPr>
          <w:b/>
          <w:sz w:val="28"/>
        </w:rPr>
        <w:tab/>
      </w:r>
      <w:r w:rsidR="0099334E" w:rsidRPr="003B1460">
        <w:rPr>
          <w:b/>
          <w:sz w:val="28"/>
        </w:rPr>
        <w:tab/>
      </w:r>
      <w:r w:rsidR="0099334E" w:rsidRPr="003B1460">
        <w:rPr>
          <w:b/>
          <w:sz w:val="28"/>
        </w:rPr>
        <w:tab/>
      </w:r>
      <w:r w:rsidR="0099334E" w:rsidRPr="003B1460">
        <w:rPr>
          <w:b/>
          <w:sz w:val="28"/>
        </w:rPr>
        <w:tab/>
      </w:r>
      <w:r w:rsidR="0099334E" w:rsidRPr="003B1460">
        <w:rPr>
          <w:b/>
          <w:sz w:val="28"/>
        </w:rPr>
        <w:tab/>
      </w:r>
      <w:r w:rsidR="0099334E" w:rsidRPr="003B1460">
        <w:rPr>
          <w:b/>
          <w:sz w:val="28"/>
        </w:rPr>
        <w:tab/>
      </w:r>
      <w:r w:rsidR="0099334E" w:rsidRPr="003B1460">
        <w:rPr>
          <w:b/>
          <w:sz w:val="28"/>
        </w:rPr>
        <w:tab/>
      </w:r>
      <w:r w:rsidR="0099334E" w:rsidRPr="003B1460">
        <w:rPr>
          <w:b/>
          <w:sz w:val="28"/>
        </w:rPr>
        <w:tab/>
      </w:r>
      <w:r w:rsidR="0099334E" w:rsidRPr="003B1460">
        <w:rPr>
          <w:b/>
          <w:sz w:val="28"/>
        </w:rPr>
        <w:tab/>
      </w:r>
      <w:r w:rsidR="0099334E" w:rsidRPr="003B1460">
        <w:rPr>
          <w:b/>
          <w:sz w:val="28"/>
        </w:rPr>
        <w:tab/>
      </w:r>
      <w:r w:rsidR="0099334E" w:rsidRPr="003B1460">
        <w:rPr>
          <w:b/>
          <w:sz w:val="28"/>
        </w:rPr>
        <w:tab/>
      </w:r>
      <w:r w:rsidR="0099334E" w:rsidRPr="003B1460">
        <w:rPr>
          <w:b/>
          <w:sz w:val="28"/>
        </w:rPr>
        <w:tab/>
      </w:r>
      <w:r w:rsidR="0099334E" w:rsidRPr="003B1460">
        <w:rPr>
          <w:b/>
          <w:sz w:val="28"/>
        </w:rPr>
        <w:tab/>
      </w:r>
      <w:r w:rsidR="0099334E" w:rsidRPr="003B1460">
        <w:rPr>
          <w:b/>
          <w:sz w:val="28"/>
        </w:rPr>
        <w:tab/>
      </w:r>
      <w:r w:rsidR="0099334E" w:rsidRPr="003B1460">
        <w:rPr>
          <w:b/>
          <w:sz w:val="28"/>
        </w:rPr>
        <w:tab/>
      </w:r>
      <w:r w:rsidR="0099334E" w:rsidRPr="003B1460">
        <w:rPr>
          <w:b/>
          <w:sz w:val="28"/>
        </w:rPr>
        <w:tab/>
      </w:r>
      <w:r w:rsidR="0099334E" w:rsidRPr="003B1460">
        <w:rPr>
          <w:b/>
          <w:sz w:val="28"/>
        </w:rPr>
        <w:tab/>
      </w:r>
      <w:r w:rsidR="0099334E" w:rsidRPr="003B1460">
        <w:rPr>
          <w:b/>
          <w:sz w:val="28"/>
        </w:rPr>
        <w:tab/>
      </w:r>
      <w:r w:rsidR="0099334E" w:rsidRPr="003B1460">
        <w:rPr>
          <w:b/>
          <w:sz w:val="28"/>
        </w:rPr>
        <w:tab/>
        <w:t xml:space="preserve">    </w:t>
      </w:r>
      <w:r w:rsidRPr="003B1460">
        <w:rPr>
          <w:b/>
          <w:sz w:val="22"/>
        </w:rPr>
        <w:t>Додаток 2</w:t>
      </w:r>
    </w:p>
    <w:p w14:paraId="5FAE708A" w14:textId="77777777" w:rsidR="00EE6C94" w:rsidRPr="003B1460" w:rsidRDefault="00934339" w:rsidP="00C16891">
      <w:pPr>
        <w:spacing w:line="240" w:lineRule="auto"/>
        <w:jc w:val="right"/>
        <w:rPr>
          <w:b/>
          <w:sz w:val="22"/>
        </w:rPr>
      </w:pPr>
      <w:r w:rsidRPr="003B1460">
        <w:rPr>
          <w:b/>
          <w:sz w:val="22"/>
        </w:rPr>
        <w:t>до Програми</w:t>
      </w:r>
    </w:p>
    <w:p w14:paraId="422042FD" w14:textId="77777777" w:rsidR="00EE6C94" w:rsidRPr="003B1460" w:rsidRDefault="00EE6C94" w:rsidP="00C16891">
      <w:pPr>
        <w:spacing w:line="240" w:lineRule="auto"/>
        <w:jc w:val="right"/>
        <w:rPr>
          <w:sz w:val="22"/>
        </w:rPr>
      </w:pPr>
    </w:p>
    <w:p w14:paraId="6AB6AA1E" w14:textId="77777777" w:rsidR="00EE6C94" w:rsidRPr="003B1460" w:rsidRDefault="00934339" w:rsidP="00C16891">
      <w:pPr>
        <w:spacing w:line="240" w:lineRule="auto"/>
        <w:jc w:val="center"/>
        <w:rPr>
          <w:b/>
          <w:sz w:val="28"/>
        </w:rPr>
      </w:pPr>
      <w:r w:rsidRPr="003B1460">
        <w:rPr>
          <w:b/>
          <w:sz w:val="28"/>
          <w:szCs w:val="28"/>
        </w:rPr>
        <w:t>Завдання і заходи міської  програми забе</w:t>
      </w:r>
      <w:r w:rsidRPr="003B1460">
        <w:rPr>
          <w:b/>
          <w:sz w:val="28"/>
        </w:rPr>
        <w:t>зпечення жителів Рахівської громади,</w:t>
      </w:r>
    </w:p>
    <w:p w14:paraId="7CA9224D" w14:textId="77777777" w:rsidR="00EE6C94" w:rsidRPr="003B1460" w:rsidRDefault="00934339" w:rsidP="00C16891">
      <w:pPr>
        <w:spacing w:line="240" w:lineRule="auto"/>
        <w:jc w:val="center"/>
        <w:rPr>
          <w:b/>
          <w:sz w:val="28"/>
        </w:rPr>
      </w:pPr>
      <w:r w:rsidRPr="003B1460">
        <w:rPr>
          <w:b/>
          <w:sz w:val="28"/>
        </w:rPr>
        <w:t xml:space="preserve"> які страждають на рідкісні (</w:t>
      </w:r>
      <w:proofErr w:type="spellStart"/>
      <w:r w:rsidRPr="003B1460">
        <w:rPr>
          <w:b/>
          <w:sz w:val="28"/>
        </w:rPr>
        <w:t>орфанні</w:t>
      </w:r>
      <w:proofErr w:type="spellEnd"/>
      <w:r w:rsidRPr="003B1460">
        <w:rPr>
          <w:b/>
          <w:sz w:val="28"/>
        </w:rPr>
        <w:t>) захворювання, лікарськими засобами та відповідними харчовими продуктами для спеціального дієтичного споживання на 2026 – 2027 роки</w:t>
      </w:r>
      <w:r w:rsidRPr="003B1460">
        <w:rPr>
          <w:sz w:val="28"/>
        </w:rPr>
        <w:t xml:space="preserve"> </w:t>
      </w:r>
    </w:p>
    <w:p w14:paraId="7F95E944" w14:textId="77777777" w:rsidR="00EE6C94" w:rsidRPr="003B1460" w:rsidRDefault="00EE6C94" w:rsidP="00C16891">
      <w:pPr>
        <w:spacing w:line="240" w:lineRule="auto"/>
        <w:jc w:val="center"/>
        <w:rPr>
          <w:b/>
          <w:sz w:val="16"/>
          <w:szCs w:val="16"/>
        </w:rPr>
      </w:pPr>
    </w:p>
    <w:tbl>
      <w:tblPr>
        <w:tblW w:w="156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4"/>
        <w:gridCol w:w="3306"/>
        <w:gridCol w:w="1725"/>
        <w:gridCol w:w="1575"/>
        <w:gridCol w:w="938"/>
        <w:gridCol w:w="675"/>
        <w:gridCol w:w="693"/>
        <w:gridCol w:w="669"/>
        <w:gridCol w:w="2661"/>
        <w:gridCol w:w="985"/>
        <w:gridCol w:w="682"/>
      </w:tblGrid>
      <w:tr w:rsidR="00EE6C94" w:rsidRPr="003B1460" w14:paraId="294BB40F" w14:textId="77777777">
        <w:trPr>
          <w:trHeight w:val="150"/>
          <w:tblHeader/>
          <w:jc w:val="center"/>
        </w:trPr>
        <w:tc>
          <w:tcPr>
            <w:tcW w:w="1764" w:type="dxa"/>
            <w:vMerge w:val="restart"/>
            <w:vAlign w:val="center"/>
          </w:tcPr>
          <w:p w14:paraId="3522DB4D" w14:textId="77777777" w:rsidR="00EE6C94" w:rsidRPr="003B1460" w:rsidRDefault="00934339" w:rsidP="00C16891">
            <w:pPr>
              <w:spacing w:line="240" w:lineRule="auto"/>
              <w:jc w:val="center"/>
              <w:rPr>
                <w:sz w:val="18"/>
              </w:rPr>
            </w:pPr>
            <w:r w:rsidRPr="003B1460">
              <w:rPr>
                <w:sz w:val="18"/>
              </w:rPr>
              <w:t>Найменування завдання</w:t>
            </w:r>
          </w:p>
        </w:tc>
        <w:tc>
          <w:tcPr>
            <w:tcW w:w="3306" w:type="dxa"/>
            <w:vMerge w:val="restart"/>
            <w:vAlign w:val="center"/>
          </w:tcPr>
          <w:p w14:paraId="1543EDB8" w14:textId="77777777" w:rsidR="00EE6C94" w:rsidRPr="003B1460" w:rsidRDefault="00934339" w:rsidP="00C16891">
            <w:pPr>
              <w:spacing w:line="240" w:lineRule="auto"/>
              <w:jc w:val="center"/>
              <w:rPr>
                <w:sz w:val="18"/>
              </w:rPr>
            </w:pPr>
            <w:r w:rsidRPr="003B1460">
              <w:rPr>
                <w:sz w:val="18"/>
              </w:rPr>
              <w:t>Перелік заходів Програми</w:t>
            </w:r>
          </w:p>
        </w:tc>
        <w:tc>
          <w:tcPr>
            <w:tcW w:w="1725" w:type="dxa"/>
            <w:vMerge w:val="restart"/>
            <w:vAlign w:val="center"/>
          </w:tcPr>
          <w:p w14:paraId="6A037007" w14:textId="77777777" w:rsidR="00EE6C94" w:rsidRPr="003B1460" w:rsidRDefault="00934339" w:rsidP="00C16891">
            <w:pPr>
              <w:spacing w:line="240" w:lineRule="auto"/>
              <w:jc w:val="center"/>
              <w:rPr>
                <w:sz w:val="18"/>
              </w:rPr>
            </w:pPr>
            <w:r w:rsidRPr="003B1460">
              <w:rPr>
                <w:sz w:val="18"/>
              </w:rPr>
              <w:t>Строк виконання заходу</w:t>
            </w:r>
          </w:p>
        </w:tc>
        <w:tc>
          <w:tcPr>
            <w:tcW w:w="1575" w:type="dxa"/>
            <w:vMerge w:val="restart"/>
            <w:vAlign w:val="center"/>
          </w:tcPr>
          <w:p w14:paraId="20EDA1A0" w14:textId="77777777" w:rsidR="00EE6C94" w:rsidRPr="003B1460" w:rsidRDefault="00934339" w:rsidP="00C16891">
            <w:pPr>
              <w:spacing w:line="240" w:lineRule="auto"/>
              <w:jc w:val="center"/>
              <w:rPr>
                <w:sz w:val="18"/>
              </w:rPr>
            </w:pPr>
            <w:r w:rsidRPr="003B1460">
              <w:rPr>
                <w:sz w:val="18"/>
              </w:rPr>
              <w:t>Відповідальні виконавці</w:t>
            </w:r>
          </w:p>
        </w:tc>
        <w:tc>
          <w:tcPr>
            <w:tcW w:w="2975" w:type="dxa"/>
            <w:gridSpan w:val="4"/>
            <w:vAlign w:val="center"/>
          </w:tcPr>
          <w:p w14:paraId="575E2BE0" w14:textId="77777777" w:rsidR="00EE6C94" w:rsidRPr="003B1460" w:rsidRDefault="00934339" w:rsidP="00C16891">
            <w:pPr>
              <w:spacing w:line="240" w:lineRule="auto"/>
              <w:jc w:val="center"/>
              <w:rPr>
                <w:sz w:val="18"/>
              </w:rPr>
            </w:pPr>
            <w:r w:rsidRPr="003B1460">
              <w:rPr>
                <w:sz w:val="18"/>
              </w:rPr>
              <w:t xml:space="preserve">Фінансування, </w:t>
            </w:r>
            <w:proofErr w:type="spellStart"/>
            <w:r w:rsidRPr="003B1460">
              <w:rPr>
                <w:sz w:val="18"/>
              </w:rPr>
              <w:t>тис.грн</w:t>
            </w:r>
            <w:proofErr w:type="spellEnd"/>
            <w:r w:rsidRPr="003B1460">
              <w:rPr>
                <w:sz w:val="18"/>
              </w:rPr>
              <w:t>.</w:t>
            </w:r>
          </w:p>
        </w:tc>
        <w:tc>
          <w:tcPr>
            <w:tcW w:w="2661" w:type="dxa"/>
            <w:vMerge w:val="restart"/>
            <w:vAlign w:val="center"/>
          </w:tcPr>
          <w:p w14:paraId="52C6056B" w14:textId="77777777" w:rsidR="00EE6C94" w:rsidRPr="003B1460" w:rsidRDefault="00934339" w:rsidP="00C16891">
            <w:pPr>
              <w:spacing w:line="240" w:lineRule="auto"/>
              <w:jc w:val="center"/>
              <w:rPr>
                <w:sz w:val="18"/>
              </w:rPr>
            </w:pPr>
            <w:r w:rsidRPr="003B1460">
              <w:rPr>
                <w:sz w:val="18"/>
              </w:rPr>
              <w:t>Найменування  показника</w:t>
            </w:r>
          </w:p>
        </w:tc>
        <w:tc>
          <w:tcPr>
            <w:tcW w:w="1667" w:type="dxa"/>
            <w:gridSpan w:val="2"/>
            <w:vMerge w:val="restart"/>
          </w:tcPr>
          <w:p w14:paraId="11CAB9EF" w14:textId="77777777" w:rsidR="00EE6C94" w:rsidRPr="003B1460" w:rsidRDefault="00934339" w:rsidP="00C16891">
            <w:pPr>
              <w:spacing w:line="240" w:lineRule="auto"/>
              <w:jc w:val="center"/>
              <w:rPr>
                <w:sz w:val="18"/>
              </w:rPr>
            </w:pPr>
            <w:r w:rsidRPr="003B1460">
              <w:rPr>
                <w:sz w:val="18"/>
              </w:rPr>
              <w:t>Цільове значення показника, індикатор</w:t>
            </w:r>
          </w:p>
        </w:tc>
      </w:tr>
      <w:tr w:rsidR="00EE6C94" w:rsidRPr="003B1460" w14:paraId="06440BFE" w14:textId="77777777">
        <w:trPr>
          <w:trHeight w:val="60"/>
          <w:tblHeader/>
          <w:jc w:val="center"/>
        </w:trPr>
        <w:tc>
          <w:tcPr>
            <w:tcW w:w="1764" w:type="dxa"/>
            <w:vMerge/>
            <w:vAlign w:val="center"/>
          </w:tcPr>
          <w:p w14:paraId="584759B2" w14:textId="77777777" w:rsidR="00EE6C94" w:rsidRPr="003B1460" w:rsidRDefault="00EE6C94" w:rsidP="00C16891">
            <w:pPr>
              <w:spacing w:line="240" w:lineRule="auto"/>
              <w:jc w:val="center"/>
              <w:rPr>
                <w:sz w:val="18"/>
              </w:rPr>
            </w:pPr>
          </w:p>
        </w:tc>
        <w:tc>
          <w:tcPr>
            <w:tcW w:w="3306" w:type="dxa"/>
            <w:vMerge/>
            <w:vAlign w:val="center"/>
          </w:tcPr>
          <w:p w14:paraId="4448EEFC" w14:textId="77777777" w:rsidR="00EE6C94" w:rsidRPr="003B1460" w:rsidRDefault="00EE6C94" w:rsidP="00C16891">
            <w:pPr>
              <w:spacing w:line="240" w:lineRule="auto"/>
              <w:jc w:val="center"/>
              <w:rPr>
                <w:sz w:val="18"/>
              </w:rPr>
            </w:pPr>
          </w:p>
        </w:tc>
        <w:tc>
          <w:tcPr>
            <w:tcW w:w="1725" w:type="dxa"/>
            <w:vMerge/>
            <w:vAlign w:val="center"/>
          </w:tcPr>
          <w:p w14:paraId="3D0513E9" w14:textId="77777777" w:rsidR="00EE6C94" w:rsidRPr="003B1460" w:rsidRDefault="00EE6C94" w:rsidP="00C16891">
            <w:pPr>
              <w:spacing w:line="240" w:lineRule="auto"/>
              <w:jc w:val="center"/>
              <w:rPr>
                <w:sz w:val="18"/>
              </w:rPr>
            </w:pPr>
          </w:p>
        </w:tc>
        <w:tc>
          <w:tcPr>
            <w:tcW w:w="1575" w:type="dxa"/>
            <w:vMerge/>
            <w:vAlign w:val="center"/>
          </w:tcPr>
          <w:p w14:paraId="06D9ADBC" w14:textId="77777777" w:rsidR="00EE6C94" w:rsidRPr="003B1460" w:rsidRDefault="00EE6C94" w:rsidP="00C16891">
            <w:pPr>
              <w:spacing w:line="240" w:lineRule="auto"/>
              <w:jc w:val="center"/>
              <w:rPr>
                <w:sz w:val="18"/>
              </w:rPr>
            </w:pPr>
          </w:p>
        </w:tc>
        <w:tc>
          <w:tcPr>
            <w:tcW w:w="938" w:type="dxa"/>
            <w:vMerge w:val="restart"/>
            <w:vAlign w:val="center"/>
          </w:tcPr>
          <w:p w14:paraId="67EAC1D6" w14:textId="77777777" w:rsidR="00EE6C94" w:rsidRPr="003B1460" w:rsidRDefault="00934339" w:rsidP="00C16891">
            <w:pPr>
              <w:spacing w:line="240" w:lineRule="auto"/>
              <w:jc w:val="center"/>
              <w:rPr>
                <w:sz w:val="18"/>
              </w:rPr>
            </w:pPr>
            <w:r w:rsidRPr="003B1460">
              <w:rPr>
                <w:sz w:val="18"/>
              </w:rPr>
              <w:t>Джерело фінансування</w:t>
            </w:r>
          </w:p>
        </w:tc>
        <w:tc>
          <w:tcPr>
            <w:tcW w:w="675" w:type="dxa"/>
            <w:vMerge w:val="restart"/>
            <w:textDirection w:val="btLr"/>
            <w:vAlign w:val="center"/>
          </w:tcPr>
          <w:p w14:paraId="341B25F4" w14:textId="77777777" w:rsidR="00EE6C94" w:rsidRPr="003B1460" w:rsidRDefault="00934339" w:rsidP="00C16891">
            <w:pPr>
              <w:spacing w:line="240" w:lineRule="auto"/>
              <w:jc w:val="center"/>
              <w:rPr>
                <w:sz w:val="18"/>
              </w:rPr>
            </w:pPr>
            <w:r w:rsidRPr="003B1460">
              <w:rPr>
                <w:sz w:val="18"/>
              </w:rPr>
              <w:t>Загальний обсяг</w:t>
            </w:r>
          </w:p>
        </w:tc>
        <w:tc>
          <w:tcPr>
            <w:tcW w:w="1362" w:type="dxa"/>
            <w:gridSpan w:val="2"/>
            <w:vAlign w:val="center"/>
          </w:tcPr>
          <w:p w14:paraId="108BDB1C" w14:textId="77777777" w:rsidR="00EE6C94" w:rsidRPr="003B1460" w:rsidRDefault="00934339" w:rsidP="00C16891">
            <w:pPr>
              <w:spacing w:line="240" w:lineRule="auto"/>
              <w:jc w:val="center"/>
              <w:rPr>
                <w:sz w:val="18"/>
              </w:rPr>
            </w:pPr>
            <w:r w:rsidRPr="003B1460">
              <w:rPr>
                <w:sz w:val="18"/>
              </w:rPr>
              <w:t>У тому числі за роками</w:t>
            </w:r>
          </w:p>
        </w:tc>
        <w:tc>
          <w:tcPr>
            <w:tcW w:w="2661" w:type="dxa"/>
            <w:vMerge/>
          </w:tcPr>
          <w:p w14:paraId="60617000" w14:textId="77777777" w:rsidR="00EE6C94" w:rsidRPr="003B1460" w:rsidRDefault="00EE6C94" w:rsidP="00C16891">
            <w:pPr>
              <w:spacing w:line="240" w:lineRule="auto"/>
              <w:jc w:val="center"/>
              <w:rPr>
                <w:sz w:val="18"/>
              </w:rPr>
            </w:pPr>
          </w:p>
        </w:tc>
        <w:tc>
          <w:tcPr>
            <w:tcW w:w="1667" w:type="dxa"/>
            <w:gridSpan w:val="2"/>
            <w:vMerge/>
          </w:tcPr>
          <w:p w14:paraId="15129DFF" w14:textId="77777777" w:rsidR="00EE6C94" w:rsidRPr="003B1460" w:rsidRDefault="00EE6C94" w:rsidP="00C16891">
            <w:pPr>
              <w:spacing w:line="240" w:lineRule="auto"/>
              <w:jc w:val="center"/>
              <w:rPr>
                <w:sz w:val="18"/>
              </w:rPr>
            </w:pPr>
          </w:p>
        </w:tc>
      </w:tr>
      <w:tr w:rsidR="00EE6C94" w:rsidRPr="003B1460" w14:paraId="603016DD" w14:textId="77777777">
        <w:trPr>
          <w:cantSplit/>
          <w:trHeight w:val="918"/>
          <w:tblHeader/>
          <w:jc w:val="center"/>
        </w:trPr>
        <w:tc>
          <w:tcPr>
            <w:tcW w:w="1764" w:type="dxa"/>
            <w:vMerge/>
            <w:vAlign w:val="center"/>
          </w:tcPr>
          <w:p w14:paraId="7B8CC644" w14:textId="77777777" w:rsidR="00EE6C94" w:rsidRPr="003B1460" w:rsidRDefault="00EE6C94" w:rsidP="00C16891">
            <w:pPr>
              <w:spacing w:line="240" w:lineRule="auto"/>
              <w:jc w:val="center"/>
              <w:rPr>
                <w:sz w:val="18"/>
              </w:rPr>
            </w:pPr>
          </w:p>
        </w:tc>
        <w:tc>
          <w:tcPr>
            <w:tcW w:w="3306" w:type="dxa"/>
            <w:vMerge/>
            <w:vAlign w:val="center"/>
          </w:tcPr>
          <w:p w14:paraId="629F2B57" w14:textId="77777777" w:rsidR="00EE6C94" w:rsidRPr="003B1460" w:rsidRDefault="00EE6C94" w:rsidP="00C16891">
            <w:pPr>
              <w:spacing w:line="240" w:lineRule="auto"/>
              <w:jc w:val="center"/>
              <w:rPr>
                <w:sz w:val="18"/>
              </w:rPr>
            </w:pPr>
          </w:p>
        </w:tc>
        <w:tc>
          <w:tcPr>
            <w:tcW w:w="1725" w:type="dxa"/>
            <w:vMerge/>
            <w:vAlign w:val="center"/>
          </w:tcPr>
          <w:p w14:paraId="0F4EA690" w14:textId="77777777" w:rsidR="00EE6C94" w:rsidRPr="003B1460" w:rsidRDefault="00EE6C94" w:rsidP="00C16891">
            <w:pPr>
              <w:spacing w:line="240" w:lineRule="auto"/>
              <w:jc w:val="center"/>
              <w:rPr>
                <w:sz w:val="18"/>
              </w:rPr>
            </w:pPr>
          </w:p>
        </w:tc>
        <w:tc>
          <w:tcPr>
            <w:tcW w:w="1575" w:type="dxa"/>
            <w:vMerge/>
            <w:vAlign w:val="center"/>
          </w:tcPr>
          <w:p w14:paraId="5758A2C0" w14:textId="77777777" w:rsidR="00EE6C94" w:rsidRPr="003B1460" w:rsidRDefault="00EE6C94" w:rsidP="00C16891">
            <w:pPr>
              <w:spacing w:line="240" w:lineRule="auto"/>
              <w:jc w:val="center"/>
              <w:rPr>
                <w:sz w:val="18"/>
              </w:rPr>
            </w:pPr>
          </w:p>
        </w:tc>
        <w:tc>
          <w:tcPr>
            <w:tcW w:w="938" w:type="dxa"/>
            <w:vMerge/>
            <w:vAlign w:val="center"/>
          </w:tcPr>
          <w:p w14:paraId="7E6881AE" w14:textId="77777777" w:rsidR="00EE6C94" w:rsidRPr="003B1460" w:rsidRDefault="00EE6C94" w:rsidP="00C16891">
            <w:pPr>
              <w:spacing w:line="240" w:lineRule="auto"/>
              <w:jc w:val="center"/>
              <w:rPr>
                <w:sz w:val="18"/>
              </w:rPr>
            </w:pPr>
          </w:p>
        </w:tc>
        <w:tc>
          <w:tcPr>
            <w:tcW w:w="675" w:type="dxa"/>
            <w:vMerge/>
            <w:vAlign w:val="center"/>
          </w:tcPr>
          <w:p w14:paraId="0A43D990" w14:textId="77777777" w:rsidR="00EE6C94" w:rsidRPr="003B1460" w:rsidRDefault="00EE6C94" w:rsidP="00C16891">
            <w:pPr>
              <w:spacing w:line="240" w:lineRule="auto"/>
              <w:jc w:val="center"/>
              <w:rPr>
                <w:sz w:val="18"/>
              </w:rPr>
            </w:pPr>
          </w:p>
        </w:tc>
        <w:tc>
          <w:tcPr>
            <w:tcW w:w="693" w:type="dxa"/>
            <w:textDirection w:val="btLr"/>
            <w:vAlign w:val="center"/>
          </w:tcPr>
          <w:p w14:paraId="67FE2BC6" w14:textId="77777777" w:rsidR="00EE6C94" w:rsidRPr="003B1460" w:rsidRDefault="00934339" w:rsidP="00C16891">
            <w:pPr>
              <w:spacing w:line="240" w:lineRule="auto"/>
              <w:jc w:val="center"/>
              <w:rPr>
                <w:sz w:val="18"/>
              </w:rPr>
            </w:pPr>
            <w:r w:rsidRPr="003B1460">
              <w:rPr>
                <w:sz w:val="18"/>
              </w:rPr>
              <w:t>2026</w:t>
            </w:r>
          </w:p>
        </w:tc>
        <w:tc>
          <w:tcPr>
            <w:tcW w:w="669" w:type="dxa"/>
            <w:textDirection w:val="btLr"/>
            <w:vAlign w:val="center"/>
          </w:tcPr>
          <w:p w14:paraId="1CE22931" w14:textId="77777777" w:rsidR="00EE6C94" w:rsidRPr="003B1460" w:rsidRDefault="00934339" w:rsidP="00C16891">
            <w:pPr>
              <w:spacing w:line="240" w:lineRule="auto"/>
              <w:jc w:val="center"/>
              <w:rPr>
                <w:sz w:val="18"/>
              </w:rPr>
            </w:pPr>
            <w:r w:rsidRPr="003B1460">
              <w:rPr>
                <w:sz w:val="18"/>
              </w:rPr>
              <w:t>2027</w:t>
            </w:r>
          </w:p>
          <w:p w14:paraId="2B53039C" w14:textId="77777777" w:rsidR="00EE6C94" w:rsidRPr="003B1460" w:rsidRDefault="00EE6C94" w:rsidP="00C16891">
            <w:pPr>
              <w:spacing w:line="240" w:lineRule="auto"/>
              <w:jc w:val="center"/>
              <w:rPr>
                <w:sz w:val="18"/>
              </w:rPr>
            </w:pPr>
          </w:p>
        </w:tc>
        <w:tc>
          <w:tcPr>
            <w:tcW w:w="2661" w:type="dxa"/>
            <w:textDirection w:val="btLr"/>
          </w:tcPr>
          <w:p w14:paraId="2ABE441A" w14:textId="77777777" w:rsidR="00EE6C94" w:rsidRPr="003B1460" w:rsidRDefault="00EE6C94" w:rsidP="00C16891">
            <w:pPr>
              <w:spacing w:line="240" w:lineRule="auto"/>
              <w:jc w:val="center"/>
              <w:rPr>
                <w:sz w:val="18"/>
              </w:rPr>
            </w:pPr>
          </w:p>
        </w:tc>
        <w:tc>
          <w:tcPr>
            <w:tcW w:w="985" w:type="dxa"/>
            <w:textDirection w:val="btLr"/>
            <w:vAlign w:val="center"/>
          </w:tcPr>
          <w:p w14:paraId="60475769" w14:textId="77777777" w:rsidR="00EE6C94" w:rsidRPr="003B1460" w:rsidRDefault="00934339" w:rsidP="00C16891">
            <w:pPr>
              <w:spacing w:line="240" w:lineRule="auto"/>
              <w:jc w:val="center"/>
              <w:rPr>
                <w:sz w:val="18"/>
              </w:rPr>
            </w:pPr>
            <w:r w:rsidRPr="003B1460">
              <w:rPr>
                <w:sz w:val="18"/>
              </w:rPr>
              <w:t>2026</w:t>
            </w:r>
          </w:p>
        </w:tc>
        <w:tc>
          <w:tcPr>
            <w:tcW w:w="682" w:type="dxa"/>
            <w:textDirection w:val="btLr"/>
            <w:vAlign w:val="center"/>
          </w:tcPr>
          <w:p w14:paraId="2BF1394D" w14:textId="77777777" w:rsidR="00EE6C94" w:rsidRPr="003B1460" w:rsidRDefault="00934339" w:rsidP="00C16891">
            <w:pPr>
              <w:spacing w:line="240" w:lineRule="auto"/>
              <w:jc w:val="center"/>
              <w:rPr>
                <w:sz w:val="18"/>
              </w:rPr>
            </w:pPr>
            <w:r w:rsidRPr="003B1460">
              <w:rPr>
                <w:sz w:val="18"/>
              </w:rPr>
              <w:t>2072</w:t>
            </w:r>
          </w:p>
        </w:tc>
      </w:tr>
      <w:tr w:rsidR="00EE6C94" w:rsidRPr="003B1460" w14:paraId="04FD8173" w14:textId="77777777">
        <w:trPr>
          <w:trHeight w:val="90"/>
          <w:tblHeader/>
          <w:jc w:val="center"/>
        </w:trPr>
        <w:tc>
          <w:tcPr>
            <w:tcW w:w="1764" w:type="dxa"/>
          </w:tcPr>
          <w:p w14:paraId="2FE9F899" w14:textId="77777777" w:rsidR="00EE6C94" w:rsidRPr="003B1460" w:rsidRDefault="00934339" w:rsidP="00C16891">
            <w:pPr>
              <w:spacing w:line="240" w:lineRule="auto"/>
              <w:jc w:val="center"/>
              <w:rPr>
                <w:b/>
                <w:sz w:val="16"/>
              </w:rPr>
            </w:pPr>
            <w:r w:rsidRPr="003B1460">
              <w:rPr>
                <w:b/>
                <w:sz w:val="16"/>
              </w:rPr>
              <w:t>1</w:t>
            </w:r>
          </w:p>
        </w:tc>
        <w:tc>
          <w:tcPr>
            <w:tcW w:w="3306" w:type="dxa"/>
          </w:tcPr>
          <w:p w14:paraId="3DF2D708" w14:textId="77777777" w:rsidR="00EE6C94" w:rsidRPr="003B1460" w:rsidRDefault="00934339" w:rsidP="00C16891">
            <w:pPr>
              <w:spacing w:line="240" w:lineRule="auto"/>
              <w:jc w:val="center"/>
              <w:rPr>
                <w:b/>
                <w:sz w:val="16"/>
              </w:rPr>
            </w:pPr>
            <w:r w:rsidRPr="003B1460">
              <w:rPr>
                <w:b/>
                <w:sz w:val="16"/>
              </w:rPr>
              <w:t>2</w:t>
            </w:r>
          </w:p>
        </w:tc>
        <w:tc>
          <w:tcPr>
            <w:tcW w:w="1725" w:type="dxa"/>
          </w:tcPr>
          <w:p w14:paraId="28301264" w14:textId="77777777" w:rsidR="00EE6C94" w:rsidRPr="003B1460" w:rsidRDefault="00934339" w:rsidP="00C16891">
            <w:pPr>
              <w:spacing w:line="240" w:lineRule="auto"/>
              <w:jc w:val="center"/>
              <w:rPr>
                <w:b/>
                <w:sz w:val="16"/>
              </w:rPr>
            </w:pPr>
            <w:r w:rsidRPr="003B1460">
              <w:rPr>
                <w:b/>
                <w:sz w:val="16"/>
              </w:rPr>
              <w:t>3</w:t>
            </w:r>
          </w:p>
        </w:tc>
        <w:tc>
          <w:tcPr>
            <w:tcW w:w="1575" w:type="dxa"/>
          </w:tcPr>
          <w:p w14:paraId="573E60EA" w14:textId="77777777" w:rsidR="00EE6C94" w:rsidRPr="003B1460" w:rsidRDefault="00934339" w:rsidP="00C16891">
            <w:pPr>
              <w:spacing w:line="240" w:lineRule="auto"/>
              <w:jc w:val="center"/>
              <w:rPr>
                <w:b/>
                <w:sz w:val="16"/>
              </w:rPr>
            </w:pPr>
            <w:r w:rsidRPr="003B1460">
              <w:rPr>
                <w:b/>
                <w:sz w:val="16"/>
              </w:rPr>
              <w:t>4</w:t>
            </w:r>
          </w:p>
        </w:tc>
        <w:tc>
          <w:tcPr>
            <w:tcW w:w="938" w:type="dxa"/>
          </w:tcPr>
          <w:p w14:paraId="0F18E201" w14:textId="77777777" w:rsidR="00EE6C94" w:rsidRPr="003B1460" w:rsidRDefault="00934339" w:rsidP="00C16891">
            <w:pPr>
              <w:spacing w:line="240" w:lineRule="auto"/>
              <w:jc w:val="center"/>
              <w:rPr>
                <w:b/>
                <w:sz w:val="16"/>
              </w:rPr>
            </w:pPr>
            <w:r w:rsidRPr="003B1460">
              <w:rPr>
                <w:b/>
                <w:sz w:val="16"/>
              </w:rPr>
              <w:t>5</w:t>
            </w:r>
          </w:p>
        </w:tc>
        <w:tc>
          <w:tcPr>
            <w:tcW w:w="675" w:type="dxa"/>
          </w:tcPr>
          <w:p w14:paraId="48A2F08B" w14:textId="77777777" w:rsidR="00EE6C94" w:rsidRPr="003B1460" w:rsidRDefault="00934339" w:rsidP="00C16891">
            <w:pPr>
              <w:spacing w:line="240" w:lineRule="auto"/>
              <w:jc w:val="center"/>
              <w:rPr>
                <w:b/>
                <w:sz w:val="16"/>
              </w:rPr>
            </w:pPr>
            <w:r w:rsidRPr="003B1460">
              <w:rPr>
                <w:b/>
                <w:sz w:val="16"/>
              </w:rPr>
              <w:t>6</w:t>
            </w:r>
          </w:p>
        </w:tc>
        <w:tc>
          <w:tcPr>
            <w:tcW w:w="693" w:type="dxa"/>
          </w:tcPr>
          <w:p w14:paraId="2DF2D678" w14:textId="77777777" w:rsidR="00EE6C94" w:rsidRPr="003B1460" w:rsidRDefault="00934339" w:rsidP="00C16891">
            <w:pPr>
              <w:spacing w:line="240" w:lineRule="auto"/>
              <w:jc w:val="center"/>
              <w:rPr>
                <w:b/>
                <w:sz w:val="16"/>
              </w:rPr>
            </w:pPr>
            <w:r w:rsidRPr="003B1460">
              <w:rPr>
                <w:b/>
                <w:sz w:val="16"/>
              </w:rPr>
              <w:t>8</w:t>
            </w:r>
          </w:p>
        </w:tc>
        <w:tc>
          <w:tcPr>
            <w:tcW w:w="669" w:type="dxa"/>
          </w:tcPr>
          <w:p w14:paraId="581A887E" w14:textId="77777777" w:rsidR="00EE6C94" w:rsidRPr="003B1460" w:rsidRDefault="00934339" w:rsidP="00C16891">
            <w:pPr>
              <w:spacing w:line="240" w:lineRule="auto"/>
              <w:jc w:val="center"/>
              <w:rPr>
                <w:b/>
                <w:sz w:val="16"/>
              </w:rPr>
            </w:pPr>
            <w:r w:rsidRPr="003B1460">
              <w:rPr>
                <w:b/>
                <w:sz w:val="16"/>
              </w:rPr>
              <w:t>9</w:t>
            </w:r>
          </w:p>
        </w:tc>
        <w:tc>
          <w:tcPr>
            <w:tcW w:w="2661" w:type="dxa"/>
          </w:tcPr>
          <w:p w14:paraId="0CF32DE2" w14:textId="77777777" w:rsidR="00EE6C94" w:rsidRPr="003B1460" w:rsidRDefault="00934339" w:rsidP="00C16891">
            <w:pPr>
              <w:spacing w:line="240" w:lineRule="auto"/>
              <w:jc w:val="center"/>
              <w:rPr>
                <w:b/>
                <w:sz w:val="16"/>
              </w:rPr>
            </w:pPr>
            <w:r w:rsidRPr="003B1460">
              <w:rPr>
                <w:b/>
                <w:sz w:val="16"/>
              </w:rPr>
              <w:t>10</w:t>
            </w:r>
          </w:p>
        </w:tc>
        <w:tc>
          <w:tcPr>
            <w:tcW w:w="985" w:type="dxa"/>
          </w:tcPr>
          <w:p w14:paraId="6833DDFD" w14:textId="77777777" w:rsidR="00EE6C94" w:rsidRPr="003B1460" w:rsidRDefault="00934339" w:rsidP="00C16891">
            <w:pPr>
              <w:spacing w:line="240" w:lineRule="auto"/>
              <w:jc w:val="center"/>
              <w:rPr>
                <w:b/>
                <w:sz w:val="16"/>
              </w:rPr>
            </w:pPr>
            <w:r w:rsidRPr="003B1460">
              <w:rPr>
                <w:b/>
                <w:sz w:val="16"/>
              </w:rPr>
              <w:t>11</w:t>
            </w:r>
          </w:p>
        </w:tc>
        <w:tc>
          <w:tcPr>
            <w:tcW w:w="682" w:type="dxa"/>
          </w:tcPr>
          <w:p w14:paraId="28D8172A" w14:textId="77777777" w:rsidR="00EE6C94" w:rsidRPr="003B1460" w:rsidRDefault="00934339" w:rsidP="00C16891">
            <w:pPr>
              <w:spacing w:line="240" w:lineRule="auto"/>
              <w:jc w:val="center"/>
              <w:rPr>
                <w:b/>
                <w:sz w:val="16"/>
              </w:rPr>
            </w:pPr>
            <w:r w:rsidRPr="003B1460">
              <w:rPr>
                <w:b/>
                <w:sz w:val="16"/>
              </w:rPr>
              <w:t>12</w:t>
            </w:r>
          </w:p>
        </w:tc>
      </w:tr>
      <w:tr w:rsidR="00EE6C94" w:rsidRPr="003B1460" w14:paraId="079BC2B0" w14:textId="77777777">
        <w:trPr>
          <w:cantSplit/>
          <w:trHeight w:val="1194"/>
          <w:tblHeader/>
          <w:jc w:val="center"/>
        </w:trPr>
        <w:tc>
          <w:tcPr>
            <w:tcW w:w="1764" w:type="dxa"/>
          </w:tcPr>
          <w:p w14:paraId="0C5BCE6E" w14:textId="77777777" w:rsidR="00EE6C94" w:rsidRPr="003B1460" w:rsidRDefault="00934339" w:rsidP="00C16891">
            <w:pPr>
              <w:spacing w:line="240" w:lineRule="auto"/>
              <w:rPr>
                <w:b/>
                <w:sz w:val="16"/>
              </w:rPr>
            </w:pPr>
            <w:r w:rsidRPr="003B1460">
              <w:rPr>
                <w:b/>
                <w:sz w:val="18"/>
              </w:rPr>
              <w:t xml:space="preserve">1. </w:t>
            </w:r>
            <w:proofErr w:type="spellStart"/>
            <w:r w:rsidRPr="003B1460">
              <w:rPr>
                <w:b/>
                <w:sz w:val="18"/>
              </w:rPr>
              <w:t>Фармакотераія</w:t>
            </w:r>
            <w:proofErr w:type="spellEnd"/>
          </w:p>
        </w:tc>
        <w:tc>
          <w:tcPr>
            <w:tcW w:w="3306" w:type="dxa"/>
          </w:tcPr>
          <w:p w14:paraId="390B0789" w14:textId="77777777" w:rsidR="00EE6C94" w:rsidRPr="003B1460" w:rsidRDefault="00934339" w:rsidP="00C16891">
            <w:pPr>
              <w:spacing w:line="240" w:lineRule="auto"/>
              <w:jc w:val="both"/>
              <w:rPr>
                <w:sz w:val="18"/>
              </w:rPr>
            </w:pPr>
            <w:r w:rsidRPr="003B1460">
              <w:rPr>
                <w:bCs/>
              </w:rPr>
              <w:t>Забезпечення лікарськими засобами жителів Рахівської громади,  які страждають на рідкісні (</w:t>
            </w:r>
            <w:proofErr w:type="spellStart"/>
            <w:r w:rsidRPr="003B1460">
              <w:rPr>
                <w:bCs/>
              </w:rPr>
              <w:t>орфанні</w:t>
            </w:r>
            <w:proofErr w:type="spellEnd"/>
            <w:r w:rsidRPr="003B1460">
              <w:rPr>
                <w:bCs/>
              </w:rPr>
              <w:t>) захворювання</w:t>
            </w:r>
          </w:p>
        </w:tc>
        <w:tc>
          <w:tcPr>
            <w:tcW w:w="1725" w:type="dxa"/>
          </w:tcPr>
          <w:p w14:paraId="772CE7BC" w14:textId="77777777" w:rsidR="00EE6C94" w:rsidRPr="003B1460" w:rsidRDefault="00934339" w:rsidP="00C16891">
            <w:pPr>
              <w:spacing w:line="240" w:lineRule="auto"/>
              <w:jc w:val="center"/>
              <w:rPr>
                <w:sz w:val="18"/>
              </w:rPr>
            </w:pPr>
            <w:r w:rsidRPr="003B1460">
              <w:rPr>
                <w:sz w:val="18"/>
              </w:rPr>
              <w:t>Щорічно, протягом 2026-2027 років</w:t>
            </w:r>
          </w:p>
        </w:tc>
        <w:tc>
          <w:tcPr>
            <w:tcW w:w="1575" w:type="dxa"/>
          </w:tcPr>
          <w:p w14:paraId="10C316C1" w14:textId="77777777" w:rsidR="00EE6C94" w:rsidRPr="003B1460" w:rsidRDefault="00934339" w:rsidP="00C16891">
            <w:pPr>
              <w:spacing w:line="240" w:lineRule="auto"/>
              <w:rPr>
                <w:sz w:val="18"/>
              </w:rPr>
            </w:pPr>
            <w:r w:rsidRPr="003B1460">
              <w:rPr>
                <w:sz w:val="18"/>
              </w:rPr>
              <w:t>КНП “Рахівська РЛ”</w:t>
            </w:r>
          </w:p>
        </w:tc>
        <w:tc>
          <w:tcPr>
            <w:tcW w:w="938" w:type="dxa"/>
          </w:tcPr>
          <w:p w14:paraId="274C9C8B" w14:textId="77777777" w:rsidR="00EE6C94" w:rsidRPr="003B1460" w:rsidRDefault="00934339" w:rsidP="00C16891">
            <w:pPr>
              <w:spacing w:line="240" w:lineRule="auto"/>
              <w:jc w:val="center"/>
              <w:rPr>
                <w:b/>
                <w:sz w:val="16"/>
              </w:rPr>
            </w:pPr>
            <w:r w:rsidRPr="003B1460">
              <w:rPr>
                <w:sz w:val="18"/>
              </w:rPr>
              <w:t xml:space="preserve">Міський </w:t>
            </w:r>
            <w:proofErr w:type="spellStart"/>
            <w:r w:rsidRPr="003B1460">
              <w:rPr>
                <w:sz w:val="18"/>
              </w:rPr>
              <w:t>бютжет</w:t>
            </w:r>
            <w:proofErr w:type="spellEnd"/>
          </w:p>
        </w:tc>
        <w:tc>
          <w:tcPr>
            <w:tcW w:w="675" w:type="dxa"/>
            <w:textDirection w:val="btLr"/>
          </w:tcPr>
          <w:p w14:paraId="411E3D57" w14:textId="77777777" w:rsidR="00EE6C94" w:rsidRPr="003B1460" w:rsidRDefault="00934339" w:rsidP="00C16891">
            <w:pPr>
              <w:spacing w:line="240" w:lineRule="auto"/>
              <w:jc w:val="center"/>
              <w:rPr>
                <w:b/>
              </w:rPr>
            </w:pPr>
            <w:r w:rsidRPr="003B1460">
              <w:rPr>
                <w:b/>
              </w:rPr>
              <w:t>80,0</w:t>
            </w:r>
          </w:p>
        </w:tc>
        <w:tc>
          <w:tcPr>
            <w:tcW w:w="693" w:type="dxa"/>
            <w:textDirection w:val="btLr"/>
          </w:tcPr>
          <w:p w14:paraId="4023F8F7" w14:textId="77777777" w:rsidR="00EE6C94" w:rsidRPr="003B1460" w:rsidRDefault="00934339" w:rsidP="00C16891">
            <w:pPr>
              <w:spacing w:line="240" w:lineRule="auto"/>
              <w:jc w:val="center"/>
              <w:rPr>
                <w:b/>
              </w:rPr>
            </w:pPr>
            <w:r w:rsidRPr="003B1460">
              <w:rPr>
                <w:b/>
              </w:rPr>
              <w:t>40,0</w:t>
            </w:r>
          </w:p>
        </w:tc>
        <w:tc>
          <w:tcPr>
            <w:tcW w:w="669" w:type="dxa"/>
            <w:textDirection w:val="btLr"/>
          </w:tcPr>
          <w:p w14:paraId="3F12E4B6" w14:textId="77777777" w:rsidR="00EE6C94" w:rsidRPr="003B1460" w:rsidRDefault="00934339" w:rsidP="00C16891">
            <w:pPr>
              <w:spacing w:line="240" w:lineRule="auto"/>
              <w:jc w:val="center"/>
              <w:rPr>
                <w:b/>
              </w:rPr>
            </w:pPr>
            <w:r w:rsidRPr="003B1460">
              <w:rPr>
                <w:b/>
              </w:rPr>
              <w:t>40,0</w:t>
            </w:r>
          </w:p>
        </w:tc>
        <w:tc>
          <w:tcPr>
            <w:tcW w:w="2661" w:type="dxa"/>
          </w:tcPr>
          <w:p w14:paraId="52DCF0CF" w14:textId="77777777" w:rsidR="00EE6C94" w:rsidRPr="003B1460" w:rsidRDefault="00934339" w:rsidP="00C16891">
            <w:pPr>
              <w:spacing w:line="240" w:lineRule="auto"/>
              <w:rPr>
                <w:sz w:val="18"/>
              </w:rPr>
            </w:pPr>
            <w:r w:rsidRPr="003B1460">
              <w:rPr>
                <w:sz w:val="18"/>
              </w:rPr>
              <w:t>Забезпеченість препаратами (у %)</w:t>
            </w:r>
          </w:p>
        </w:tc>
        <w:tc>
          <w:tcPr>
            <w:tcW w:w="985" w:type="dxa"/>
            <w:textDirection w:val="btLr"/>
          </w:tcPr>
          <w:p w14:paraId="010F151D" w14:textId="77777777" w:rsidR="00EE6C94" w:rsidRPr="003B1460" w:rsidRDefault="00934339" w:rsidP="00C16891">
            <w:pPr>
              <w:spacing w:line="240" w:lineRule="auto"/>
              <w:jc w:val="right"/>
              <w:rPr>
                <w:sz w:val="18"/>
              </w:rPr>
            </w:pPr>
            <w:r w:rsidRPr="003B1460">
              <w:rPr>
                <w:sz w:val="18"/>
              </w:rPr>
              <w:t xml:space="preserve"> </w:t>
            </w:r>
          </w:p>
          <w:p w14:paraId="3AA999D4" w14:textId="77777777" w:rsidR="00EE6C94" w:rsidRPr="003B1460" w:rsidRDefault="00934339" w:rsidP="00C16891">
            <w:pPr>
              <w:spacing w:line="240" w:lineRule="auto"/>
              <w:jc w:val="right"/>
              <w:rPr>
                <w:sz w:val="18"/>
              </w:rPr>
            </w:pPr>
            <w:r w:rsidRPr="003B1460">
              <w:rPr>
                <w:sz w:val="18"/>
              </w:rPr>
              <w:t>80,0</w:t>
            </w:r>
          </w:p>
        </w:tc>
        <w:tc>
          <w:tcPr>
            <w:tcW w:w="682" w:type="dxa"/>
            <w:textDirection w:val="btLr"/>
          </w:tcPr>
          <w:p w14:paraId="177F3EE0" w14:textId="77777777" w:rsidR="00EE6C94" w:rsidRPr="003B1460" w:rsidRDefault="00934339" w:rsidP="00C16891">
            <w:pPr>
              <w:spacing w:line="240" w:lineRule="auto"/>
              <w:jc w:val="right"/>
              <w:rPr>
                <w:sz w:val="18"/>
              </w:rPr>
            </w:pPr>
            <w:r w:rsidRPr="003B1460">
              <w:rPr>
                <w:sz w:val="18"/>
              </w:rPr>
              <w:t>82,0</w:t>
            </w:r>
          </w:p>
        </w:tc>
      </w:tr>
      <w:tr w:rsidR="00EE6C94" w:rsidRPr="003B1460" w14:paraId="2F223CD7" w14:textId="77777777">
        <w:trPr>
          <w:trHeight w:val="883"/>
          <w:tblHeader/>
          <w:jc w:val="center"/>
        </w:trPr>
        <w:tc>
          <w:tcPr>
            <w:tcW w:w="1764" w:type="dxa"/>
          </w:tcPr>
          <w:p w14:paraId="7D888CF6" w14:textId="77777777" w:rsidR="00EE6C94" w:rsidRPr="003B1460" w:rsidRDefault="00934339" w:rsidP="00C16891">
            <w:pPr>
              <w:spacing w:line="240" w:lineRule="auto"/>
              <w:rPr>
                <w:b/>
              </w:rPr>
            </w:pPr>
            <w:r w:rsidRPr="003B1460">
              <w:rPr>
                <w:b/>
              </w:rPr>
              <w:t>2 Придбання апаратури</w:t>
            </w:r>
          </w:p>
        </w:tc>
        <w:tc>
          <w:tcPr>
            <w:tcW w:w="3306" w:type="dxa"/>
          </w:tcPr>
          <w:p w14:paraId="7A94ADF4" w14:textId="77777777" w:rsidR="00EE6C94" w:rsidRPr="003B1460" w:rsidRDefault="00934339" w:rsidP="00C16891">
            <w:pPr>
              <w:spacing w:line="240" w:lineRule="auto"/>
            </w:pPr>
            <w:r w:rsidRPr="003B1460">
              <w:rPr>
                <w:sz w:val="18"/>
              </w:rPr>
              <w:t xml:space="preserve">Придбання медичного обладнання (апаратури)  </w:t>
            </w:r>
          </w:p>
        </w:tc>
        <w:tc>
          <w:tcPr>
            <w:tcW w:w="1725" w:type="dxa"/>
          </w:tcPr>
          <w:p w14:paraId="34E25BC2" w14:textId="77777777" w:rsidR="00EE6C94" w:rsidRPr="003B1460" w:rsidRDefault="00934339" w:rsidP="00C16891">
            <w:pPr>
              <w:spacing w:line="240" w:lineRule="auto"/>
              <w:rPr>
                <w:sz w:val="18"/>
              </w:rPr>
            </w:pPr>
            <w:r w:rsidRPr="003B1460">
              <w:rPr>
                <w:sz w:val="18"/>
              </w:rPr>
              <w:t>Щорічно, протягом 2026-2027 років</w:t>
            </w:r>
          </w:p>
        </w:tc>
        <w:tc>
          <w:tcPr>
            <w:tcW w:w="1575" w:type="dxa"/>
          </w:tcPr>
          <w:p w14:paraId="6AE6ED87" w14:textId="77777777" w:rsidR="00EE6C94" w:rsidRPr="003B1460" w:rsidRDefault="00934339" w:rsidP="00C16891">
            <w:pPr>
              <w:spacing w:line="240" w:lineRule="auto"/>
              <w:rPr>
                <w:sz w:val="18"/>
              </w:rPr>
            </w:pPr>
            <w:r w:rsidRPr="003B1460">
              <w:rPr>
                <w:sz w:val="18"/>
              </w:rPr>
              <w:t>КНП “Рахівська РЛ”</w:t>
            </w:r>
          </w:p>
          <w:p w14:paraId="38333BE5" w14:textId="77777777" w:rsidR="00EE6C94" w:rsidRPr="003B1460" w:rsidRDefault="00EE6C94" w:rsidP="00C16891">
            <w:pPr>
              <w:spacing w:line="240" w:lineRule="auto"/>
              <w:rPr>
                <w:sz w:val="18"/>
              </w:rPr>
            </w:pPr>
          </w:p>
        </w:tc>
        <w:tc>
          <w:tcPr>
            <w:tcW w:w="938" w:type="dxa"/>
          </w:tcPr>
          <w:p w14:paraId="208D90BE" w14:textId="77777777" w:rsidR="00EE6C94" w:rsidRPr="003B1460" w:rsidRDefault="00934339" w:rsidP="00C16891">
            <w:pPr>
              <w:spacing w:line="240" w:lineRule="auto"/>
              <w:jc w:val="center"/>
              <w:rPr>
                <w:b/>
                <w:sz w:val="16"/>
              </w:rPr>
            </w:pPr>
            <w:r w:rsidRPr="003B1460">
              <w:rPr>
                <w:sz w:val="18"/>
              </w:rPr>
              <w:t xml:space="preserve">Міський </w:t>
            </w:r>
            <w:proofErr w:type="spellStart"/>
            <w:r w:rsidRPr="003B1460">
              <w:rPr>
                <w:sz w:val="18"/>
              </w:rPr>
              <w:t>бютжет</w:t>
            </w:r>
            <w:proofErr w:type="spellEnd"/>
          </w:p>
        </w:tc>
        <w:tc>
          <w:tcPr>
            <w:tcW w:w="675" w:type="dxa"/>
            <w:textDirection w:val="btLr"/>
          </w:tcPr>
          <w:p w14:paraId="71F6869D" w14:textId="77777777" w:rsidR="00EE6C94" w:rsidRPr="003B1460" w:rsidRDefault="00934339" w:rsidP="00C16891">
            <w:pPr>
              <w:spacing w:line="240" w:lineRule="auto"/>
              <w:jc w:val="center"/>
              <w:rPr>
                <w:b/>
              </w:rPr>
            </w:pPr>
            <w:r w:rsidRPr="003B1460">
              <w:rPr>
                <w:b/>
              </w:rPr>
              <w:t>60,0</w:t>
            </w:r>
          </w:p>
        </w:tc>
        <w:tc>
          <w:tcPr>
            <w:tcW w:w="693" w:type="dxa"/>
            <w:textDirection w:val="btLr"/>
          </w:tcPr>
          <w:p w14:paraId="19971AB7" w14:textId="77777777" w:rsidR="00EE6C94" w:rsidRPr="003B1460" w:rsidRDefault="00934339" w:rsidP="00C16891">
            <w:pPr>
              <w:spacing w:line="240" w:lineRule="auto"/>
              <w:jc w:val="center"/>
              <w:rPr>
                <w:b/>
              </w:rPr>
            </w:pPr>
            <w:r w:rsidRPr="003B1460">
              <w:rPr>
                <w:b/>
              </w:rPr>
              <w:t>30,0</w:t>
            </w:r>
          </w:p>
        </w:tc>
        <w:tc>
          <w:tcPr>
            <w:tcW w:w="669" w:type="dxa"/>
            <w:textDirection w:val="btLr"/>
          </w:tcPr>
          <w:p w14:paraId="54E8A4B0" w14:textId="77777777" w:rsidR="00EE6C94" w:rsidRPr="003B1460" w:rsidRDefault="00934339" w:rsidP="00C16891">
            <w:pPr>
              <w:spacing w:line="240" w:lineRule="auto"/>
              <w:jc w:val="center"/>
              <w:rPr>
                <w:b/>
              </w:rPr>
            </w:pPr>
            <w:r w:rsidRPr="003B1460">
              <w:rPr>
                <w:b/>
              </w:rPr>
              <w:t>30,0</w:t>
            </w:r>
          </w:p>
        </w:tc>
        <w:tc>
          <w:tcPr>
            <w:tcW w:w="2661" w:type="dxa"/>
          </w:tcPr>
          <w:p w14:paraId="7C02D557" w14:textId="77777777" w:rsidR="00EE6C94" w:rsidRPr="003B1460" w:rsidRDefault="00934339" w:rsidP="00C16891">
            <w:pPr>
              <w:spacing w:line="240" w:lineRule="auto"/>
              <w:rPr>
                <w:sz w:val="18"/>
              </w:rPr>
            </w:pPr>
            <w:r w:rsidRPr="003B1460">
              <w:rPr>
                <w:sz w:val="18"/>
              </w:rPr>
              <w:t xml:space="preserve">Забезпеченість   медичним обладнанням (апаратурою) </w:t>
            </w:r>
          </w:p>
        </w:tc>
        <w:tc>
          <w:tcPr>
            <w:tcW w:w="985" w:type="dxa"/>
            <w:textDirection w:val="btLr"/>
            <w:vAlign w:val="center"/>
          </w:tcPr>
          <w:p w14:paraId="13BF6FE8" w14:textId="77777777" w:rsidR="00EE6C94" w:rsidRPr="003B1460" w:rsidRDefault="00934339" w:rsidP="00C16891">
            <w:pPr>
              <w:spacing w:line="240" w:lineRule="auto"/>
              <w:jc w:val="right"/>
              <w:rPr>
                <w:sz w:val="18"/>
              </w:rPr>
            </w:pPr>
            <w:r w:rsidRPr="003B1460">
              <w:rPr>
                <w:sz w:val="18"/>
              </w:rPr>
              <w:t>100,0</w:t>
            </w:r>
          </w:p>
        </w:tc>
        <w:tc>
          <w:tcPr>
            <w:tcW w:w="682" w:type="dxa"/>
            <w:textDirection w:val="btLr"/>
            <w:vAlign w:val="center"/>
          </w:tcPr>
          <w:p w14:paraId="3234D027" w14:textId="77777777" w:rsidR="00EE6C94" w:rsidRPr="003B1460" w:rsidRDefault="00934339" w:rsidP="00C16891">
            <w:pPr>
              <w:spacing w:line="240" w:lineRule="auto"/>
              <w:jc w:val="right"/>
              <w:rPr>
                <w:sz w:val="18"/>
              </w:rPr>
            </w:pPr>
            <w:r w:rsidRPr="003B1460">
              <w:rPr>
                <w:sz w:val="18"/>
              </w:rPr>
              <w:t>100,0</w:t>
            </w:r>
          </w:p>
        </w:tc>
      </w:tr>
      <w:tr w:rsidR="00EE6C94" w:rsidRPr="003B1460" w14:paraId="37EDE622" w14:textId="77777777">
        <w:trPr>
          <w:trHeight w:val="1390"/>
          <w:tblHeader/>
          <w:jc w:val="center"/>
        </w:trPr>
        <w:tc>
          <w:tcPr>
            <w:tcW w:w="1764" w:type="dxa"/>
          </w:tcPr>
          <w:p w14:paraId="4F84C152" w14:textId="77777777" w:rsidR="00EE6C94" w:rsidRPr="003B1460" w:rsidRDefault="00934339" w:rsidP="00C16891">
            <w:pPr>
              <w:spacing w:line="240" w:lineRule="auto"/>
              <w:jc w:val="both"/>
              <w:rPr>
                <w:b/>
                <w:sz w:val="16"/>
              </w:rPr>
            </w:pPr>
            <w:r w:rsidRPr="003B1460">
              <w:rPr>
                <w:b/>
                <w:sz w:val="16"/>
              </w:rPr>
              <w:t xml:space="preserve">3. </w:t>
            </w:r>
            <w:r w:rsidRPr="003B1460">
              <w:rPr>
                <w:b/>
              </w:rPr>
              <w:t xml:space="preserve">Забезпечення лікувальним харчуванням громадян, хворих на </w:t>
            </w:r>
            <w:proofErr w:type="spellStart"/>
            <w:r w:rsidRPr="003B1460">
              <w:rPr>
                <w:b/>
              </w:rPr>
              <w:t>фенілкетонурію</w:t>
            </w:r>
            <w:proofErr w:type="spellEnd"/>
          </w:p>
        </w:tc>
        <w:tc>
          <w:tcPr>
            <w:tcW w:w="3306" w:type="dxa"/>
          </w:tcPr>
          <w:p w14:paraId="32F94FFD" w14:textId="77777777" w:rsidR="00EE6C94" w:rsidRPr="003B1460" w:rsidRDefault="00934339" w:rsidP="00C16891">
            <w:pPr>
              <w:spacing w:line="240" w:lineRule="auto"/>
              <w:rPr>
                <w:sz w:val="18"/>
              </w:rPr>
            </w:pPr>
            <w:r w:rsidRPr="003B1460">
              <w:rPr>
                <w:sz w:val="18"/>
              </w:rPr>
              <w:t xml:space="preserve">Забезпечення лікувальним харчуванням хворих на </w:t>
            </w:r>
            <w:proofErr w:type="spellStart"/>
            <w:r w:rsidRPr="003B1460">
              <w:rPr>
                <w:sz w:val="18"/>
              </w:rPr>
              <w:t>фенілкетонрію</w:t>
            </w:r>
            <w:proofErr w:type="spellEnd"/>
            <w:r w:rsidRPr="003B1460">
              <w:rPr>
                <w:sz w:val="18"/>
              </w:rPr>
              <w:t xml:space="preserve"> дітей від 3-х років та дорослих для попередження затримки розумового розвитку,  </w:t>
            </w:r>
            <w:proofErr w:type="spellStart"/>
            <w:r w:rsidRPr="003B1460">
              <w:rPr>
                <w:sz w:val="18"/>
              </w:rPr>
              <w:t>інвалідизації</w:t>
            </w:r>
            <w:proofErr w:type="spellEnd"/>
            <w:r w:rsidRPr="003B1460">
              <w:rPr>
                <w:sz w:val="18"/>
              </w:rPr>
              <w:t xml:space="preserve"> та для інтеграції в суспільне життя. </w:t>
            </w:r>
          </w:p>
        </w:tc>
        <w:tc>
          <w:tcPr>
            <w:tcW w:w="1725" w:type="dxa"/>
          </w:tcPr>
          <w:p w14:paraId="217E77A7" w14:textId="77777777" w:rsidR="00EE6C94" w:rsidRPr="003B1460" w:rsidRDefault="00934339" w:rsidP="00C16891">
            <w:pPr>
              <w:spacing w:line="240" w:lineRule="auto"/>
              <w:jc w:val="center"/>
              <w:rPr>
                <w:sz w:val="18"/>
              </w:rPr>
            </w:pPr>
            <w:r w:rsidRPr="003B1460">
              <w:rPr>
                <w:sz w:val="18"/>
              </w:rPr>
              <w:t>Щорічно, протягом 2026-2027 років</w:t>
            </w:r>
          </w:p>
        </w:tc>
        <w:tc>
          <w:tcPr>
            <w:tcW w:w="1575" w:type="dxa"/>
          </w:tcPr>
          <w:p w14:paraId="0BC0F3E0" w14:textId="77777777" w:rsidR="00EE6C94" w:rsidRPr="003B1460" w:rsidRDefault="00934339" w:rsidP="00C16891">
            <w:pPr>
              <w:spacing w:line="240" w:lineRule="auto"/>
              <w:rPr>
                <w:sz w:val="18"/>
              </w:rPr>
            </w:pPr>
            <w:r w:rsidRPr="003B1460">
              <w:rPr>
                <w:sz w:val="18"/>
              </w:rPr>
              <w:t>КНП “Рахівська РЛ”</w:t>
            </w:r>
          </w:p>
        </w:tc>
        <w:tc>
          <w:tcPr>
            <w:tcW w:w="938" w:type="dxa"/>
          </w:tcPr>
          <w:p w14:paraId="04588051" w14:textId="77777777" w:rsidR="00EE6C94" w:rsidRPr="003B1460" w:rsidRDefault="00934339" w:rsidP="00C16891">
            <w:pPr>
              <w:spacing w:line="240" w:lineRule="auto"/>
              <w:jc w:val="center"/>
              <w:rPr>
                <w:sz w:val="18"/>
              </w:rPr>
            </w:pPr>
            <w:r w:rsidRPr="003B1460">
              <w:rPr>
                <w:sz w:val="18"/>
              </w:rPr>
              <w:t xml:space="preserve">Міський </w:t>
            </w:r>
            <w:proofErr w:type="spellStart"/>
            <w:r w:rsidRPr="003B1460">
              <w:rPr>
                <w:sz w:val="18"/>
              </w:rPr>
              <w:t>бютжет</w:t>
            </w:r>
            <w:proofErr w:type="spellEnd"/>
          </w:p>
        </w:tc>
        <w:tc>
          <w:tcPr>
            <w:tcW w:w="675" w:type="dxa"/>
            <w:textDirection w:val="btLr"/>
            <w:vAlign w:val="center"/>
          </w:tcPr>
          <w:p w14:paraId="523F4FC8" w14:textId="77777777" w:rsidR="00EE6C94" w:rsidRPr="003B1460" w:rsidRDefault="00934339" w:rsidP="00C16891">
            <w:pPr>
              <w:spacing w:line="240" w:lineRule="auto"/>
              <w:jc w:val="center"/>
              <w:rPr>
                <w:b/>
              </w:rPr>
            </w:pPr>
            <w:r w:rsidRPr="003B1460">
              <w:rPr>
                <w:b/>
              </w:rPr>
              <w:t>60,0</w:t>
            </w:r>
          </w:p>
        </w:tc>
        <w:tc>
          <w:tcPr>
            <w:tcW w:w="693" w:type="dxa"/>
            <w:textDirection w:val="btLr"/>
            <w:vAlign w:val="center"/>
          </w:tcPr>
          <w:p w14:paraId="61E499E0" w14:textId="77777777" w:rsidR="00EE6C94" w:rsidRPr="003B1460" w:rsidRDefault="00934339" w:rsidP="00C16891">
            <w:pPr>
              <w:spacing w:line="240" w:lineRule="auto"/>
              <w:jc w:val="center"/>
              <w:rPr>
                <w:b/>
              </w:rPr>
            </w:pPr>
            <w:r w:rsidRPr="003B1460">
              <w:rPr>
                <w:b/>
              </w:rPr>
              <w:t>30,0</w:t>
            </w:r>
          </w:p>
        </w:tc>
        <w:tc>
          <w:tcPr>
            <w:tcW w:w="669" w:type="dxa"/>
            <w:textDirection w:val="btLr"/>
            <w:vAlign w:val="center"/>
          </w:tcPr>
          <w:p w14:paraId="19F007A2" w14:textId="77777777" w:rsidR="00EE6C94" w:rsidRPr="003B1460" w:rsidRDefault="00934339" w:rsidP="00C16891">
            <w:pPr>
              <w:spacing w:line="240" w:lineRule="auto"/>
              <w:jc w:val="center"/>
              <w:rPr>
                <w:b/>
              </w:rPr>
            </w:pPr>
            <w:r w:rsidRPr="003B1460">
              <w:rPr>
                <w:b/>
              </w:rPr>
              <w:t>30,0</w:t>
            </w:r>
          </w:p>
        </w:tc>
        <w:tc>
          <w:tcPr>
            <w:tcW w:w="2661" w:type="dxa"/>
          </w:tcPr>
          <w:p w14:paraId="2861A2DA" w14:textId="77777777" w:rsidR="00EE6C94" w:rsidRPr="003B1460" w:rsidRDefault="00934339" w:rsidP="00C16891">
            <w:pPr>
              <w:spacing w:line="240" w:lineRule="auto"/>
              <w:rPr>
                <w:sz w:val="18"/>
              </w:rPr>
            </w:pPr>
            <w:r w:rsidRPr="003B1460">
              <w:rPr>
                <w:sz w:val="18"/>
              </w:rPr>
              <w:t xml:space="preserve">Забезпечення лікувальним харчуванням всіх хворих на </w:t>
            </w:r>
            <w:proofErr w:type="spellStart"/>
            <w:r w:rsidRPr="003B1460">
              <w:rPr>
                <w:sz w:val="18"/>
              </w:rPr>
              <w:t>фенілкетонурію</w:t>
            </w:r>
            <w:proofErr w:type="spellEnd"/>
            <w:r w:rsidRPr="003B1460">
              <w:rPr>
                <w:sz w:val="18"/>
              </w:rPr>
              <w:t xml:space="preserve"> (дітей від 3-х років та дорослих).</w:t>
            </w:r>
          </w:p>
        </w:tc>
        <w:tc>
          <w:tcPr>
            <w:tcW w:w="985" w:type="dxa"/>
            <w:textDirection w:val="btLr"/>
            <w:vAlign w:val="center"/>
          </w:tcPr>
          <w:p w14:paraId="44B1463C" w14:textId="77777777" w:rsidR="00EE6C94" w:rsidRPr="003B1460" w:rsidRDefault="00934339" w:rsidP="00C16891">
            <w:pPr>
              <w:spacing w:line="240" w:lineRule="auto"/>
              <w:jc w:val="right"/>
              <w:rPr>
                <w:sz w:val="18"/>
              </w:rPr>
            </w:pPr>
            <w:r w:rsidRPr="003B1460">
              <w:rPr>
                <w:sz w:val="18"/>
              </w:rPr>
              <w:t>100,0</w:t>
            </w:r>
          </w:p>
        </w:tc>
        <w:tc>
          <w:tcPr>
            <w:tcW w:w="682" w:type="dxa"/>
            <w:textDirection w:val="btLr"/>
            <w:vAlign w:val="center"/>
          </w:tcPr>
          <w:p w14:paraId="5FE038BF" w14:textId="77777777" w:rsidR="00EE6C94" w:rsidRPr="003B1460" w:rsidRDefault="00934339" w:rsidP="00C16891">
            <w:pPr>
              <w:spacing w:line="240" w:lineRule="auto"/>
              <w:jc w:val="right"/>
              <w:rPr>
                <w:sz w:val="18"/>
              </w:rPr>
            </w:pPr>
            <w:r w:rsidRPr="003B1460">
              <w:rPr>
                <w:sz w:val="18"/>
              </w:rPr>
              <w:t>100,0</w:t>
            </w:r>
          </w:p>
        </w:tc>
      </w:tr>
      <w:tr w:rsidR="00EE6C94" w:rsidRPr="003B1460" w14:paraId="6AD0C1BE" w14:textId="77777777">
        <w:trPr>
          <w:trHeight w:val="784"/>
          <w:tblHeader/>
          <w:jc w:val="center"/>
        </w:trPr>
        <w:tc>
          <w:tcPr>
            <w:tcW w:w="9308" w:type="dxa"/>
            <w:gridSpan w:val="5"/>
            <w:vAlign w:val="center"/>
          </w:tcPr>
          <w:p w14:paraId="3CA26BA9" w14:textId="77777777" w:rsidR="00EE6C94" w:rsidRPr="003B1460" w:rsidRDefault="00934339" w:rsidP="00C16891">
            <w:pPr>
              <w:spacing w:line="240" w:lineRule="auto"/>
              <w:rPr>
                <w:b/>
              </w:rPr>
            </w:pPr>
            <w:r w:rsidRPr="003B1460">
              <w:rPr>
                <w:b/>
                <w:sz w:val="24"/>
                <w:szCs w:val="24"/>
              </w:rPr>
              <w:t>Усього по Програмі коштів міського бюджету</w:t>
            </w:r>
          </w:p>
        </w:tc>
        <w:tc>
          <w:tcPr>
            <w:tcW w:w="675" w:type="dxa"/>
            <w:textDirection w:val="btLr"/>
            <w:vAlign w:val="center"/>
          </w:tcPr>
          <w:p w14:paraId="3E090CE9" w14:textId="77777777" w:rsidR="00EE6C94" w:rsidRPr="003B1460" w:rsidRDefault="00934339" w:rsidP="00C16891">
            <w:pPr>
              <w:spacing w:line="240" w:lineRule="auto"/>
              <w:jc w:val="center"/>
              <w:rPr>
                <w:b/>
              </w:rPr>
            </w:pPr>
            <w:r w:rsidRPr="003B1460">
              <w:rPr>
                <w:b/>
              </w:rPr>
              <w:t>200,0</w:t>
            </w:r>
          </w:p>
        </w:tc>
        <w:tc>
          <w:tcPr>
            <w:tcW w:w="693" w:type="dxa"/>
            <w:textDirection w:val="btLr"/>
            <w:vAlign w:val="center"/>
          </w:tcPr>
          <w:p w14:paraId="7C410A4D" w14:textId="77777777" w:rsidR="00EE6C94" w:rsidRPr="003B1460" w:rsidRDefault="00934339" w:rsidP="00C16891">
            <w:pPr>
              <w:spacing w:line="240" w:lineRule="auto"/>
              <w:jc w:val="center"/>
              <w:rPr>
                <w:b/>
              </w:rPr>
            </w:pPr>
            <w:r w:rsidRPr="003B1460">
              <w:rPr>
                <w:b/>
              </w:rPr>
              <w:t>100,0</w:t>
            </w:r>
          </w:p>
        </w:tc>
        <w:tc>
          <w:tcPr>
            <w:tcW w:w="669" w:type="dxa"/>
            <w:textDirection w:val="btLr"/>
            <w:vAlign w:val="center"/>
          </w:tcPr>
          <w:p w14:paraId="66352CFF" w14:textId="77777777" w:rsidR="00EE6C94" w:rsidRPr="003B1460" w:rsidRDefault="00934339" w:rsidP="00C16891">
            <w:pPr>
              <w:spacing w:line="240" w:lineRule="auto"/>
              <w:jc w:val="center"/>
              <w:rPr>
                <w:b/>
              </w:rPr>
            </w:pPr>
            <w:r w:rsidRPr="003B1460">
              <w:rPr>
                <w:b/>
              </w:rPr>
              <w:t>100,0</w:t>
            </w:r>
          </w:p>
        </w:tc>
        <w:tc>
          <w:tcPr>
            <w:tcW w:w="4328" w:type="dxa"/>
            <w:gridSpan w:val="3"/>
            <w:textDirection w:val="btLr"/>
            <w:vAlign w:val="center"/>
          </w:tcPr>
          <w:p w14:paraId="210C2AC0" w14:textId="77777777" w:rsidR="00EE6C94" w:rsidRPr="003B1460" w:rsidRDefault="00EE6C94" w:rsidP="00C16891">
            <w:pPr>
              <w:spacing w:line="240" w:lineRule="auto"/>
            </w:pPr>
          </w:p>
        </w:tc>
      </w:tr>
    </w:tbl>
    <w:p w14:paraId="65A5867D" w14:textId="77777777" w:rsidR="00EE6C94" w:rsidRPr="003B1460" w:rsidRDefault="00EE6C94" w:rsidP="00C16891">
      <w:pPr>
        <w:spacing w:line="240" w:lineRule="auto"/>
        <w:jc w:val="both"/>
        <w:rPr>
          <w:b/>
          <w:color w:val="000000"/>
          <w:sz w:val="28"/>
          <w:szCs w:val="28"/>
        </w:rPr>
      </w:pPr>
    </w:p>
    <w:p w14:paraId="3529FB49" w14:textId="7C5A9B11" w:rsidR="001251B0" w:rsidRPr="003B1460" w:rsidRDefault="001251B0" w:rsidP="00C16891">
      <w:pPr>
        <w:spacing w:line="240" w:lineRule="auto"/>
        <w:rPr>
          <w:b/>
          <w:color w:val="000000"/>
          <w:sz w:val="28"/>
          <w:szCs w:val="28"/>
        </w:rPr>
      </w:pPr>
      <w:r w:rsidRPr="003B1460">
        <w:rPr>
          <w:b/>
          <w:color w:val="000000"/>
          <w:sz w:val="28"/>
          <w:szCs w:val="28"/>
        </w:rPr>
        <w:br w:type="page"/>
      </w:r>
    </w:p>
    <w:p w14:paraId="77F53EA6" w14:textId="77777777" w:rsidR="00461A60" w:rsidRPr="003B1460" w:rsidRDefault="00461A60" w:rsidP="00C16891">
      <w:pPr>
        <w:spacing w:line="240" w:lineRule="auto"/>
        <w:jc w:val="both"/>
        <w:rPr>
          <w:b/>
          <w:color w:val="000000"/>
          <w:sz w:val="28"/>
          <w:szCs w:val="28"/>
        </w:rPr>
      </w:pPr>
    </w:p>
    <w:p w14:paraId="3EB0E9D7" w14:textId="77777777" w:rsidR="00461A60" w:rsidRPr="003B1460" w:rsidRDefault="00461A60" w:rsidP="00C16891">
      <w:pPr>
        <w:spacing w:line="240" w:lineRule="auto"/>
        <w:jc w:val="right"/>
        <w:rPr>
          <w:b/>
          <w:sz w:val="22"/>
          <w:szCs w:val="22"/>
        </w:rPr>
      </w:pPr>
      <w:r w:rsidRPr="003B1460">
        <w:rPr>
          <w:b/>
          <w:sz w:val="22"/>
          <w:szCs w:val="22"/>
        </w:rPr>
        <w:t>Додаток 3</w:t>
      </w:r>
    </w:p>
    <w:p w14:paraId="2407B2C0" w14:textId="77777777" w:rsidR="00461A60" w:rsidRPr="003B1460" w:rsidRDefault="00461A60" w:rsidP="00C16891">
      <w:pPr>
        <w:spacing w:line="240" w:lineRule="auto"/>
        <w:jc w:val="right"/>
        <w:rPr>
          <w:b/>
          <w:sz w:val="22"/>
          <w:szCs w:val="22"/>
        </w:rPr>
      </w:pPr>
      <w:r w:rsidRPr="003B1460">
        <w:rPr>
          <w:b/>
          <w:sz w:val="22"/>
          <w:szCs w:val="22"/>
        </w:rPr>
        <w:t>до Програми</w:t>
      </w:r>
    </w:p>
    <w:p w14:paraId="56613AD4" w14:textId="77777777" w:rsidR="00461A60" w:rsidRPr="003B1460" w:rsidRDefault="00461A60" w:rsidP="00C16891">
      <w:pPr>
        <w:spacing w:line="240" w:lineRule="auto"/>
        <w:jc w:val="center"/>
        <w:rPr>
          <w:b/>
          <w:sz w:val="32"/>
        </w:rPr>
      </w:pPr>
    </w:p>
    <w:p w14:paraId="6B1AB101" w14:textId="77777777" w:rsidR="00461A60" w:rsidRPr="003B1460" w:rsidRDefault="00461A60" w:rsidP="00C16891">
      <w:pPr>
        <w:spacing w:line="240" w:lineRule="auto"/>
        <w:jc w:val="center"/>
        <w:rPr>
          <w:b/>
          <w:sz w:val="32"/>
        </w:rPr>
      </w:pPr>
      <w:r w:rsidRPr="003B1460">
        <w:rPr>
          <w:b/>
          <w:sz w:val="32"/>
        </w:rPr>
        <w:t>Ресурсне забезпечення</w:t>
      </w:r>
    </w:p>
    <w:p w14:paraId="7A0552F8" w14:textId="77777777" w:rsidR="00461A60" w:rsidRPr="003B1460" w:rsidRDefault="00461A60" w:rsidP="00C16891">
      <w:pPr>
        <w:spacing w:line="240" w:lineRule="auto"/>
        <w:jc w:val="center"/>
        <w:rPr>
          <w:b/>
          <w:sz w:val="28"/>
        </w:rPr>
      </w:pPr>
      <w:r w:rsidRPr="003B1460">
        <w:rPr>
          <w:b/>
          <w:sz w:val="28"/>
        </w:rPr>
        <w:t xml:space="preserve"> програми забезпечення жителів Рахівської громади,</w:t>
      </w:r>
    </w:p>
    <w:p w14:paraId="394CEB9B" w14:textId="77777777" w:rsidR="00461A60" w:rsidRPr="003B1460" w:rsidRDefault="00461A60" w:rsidP="00C16891">
      <w:pPr>
        <w:spacing w:line="240" w:lineRule="auto"/>
        <w:jc w:val="center"/>
        <w:rPr>
          <w:b/>
          <w:sz w:val="28"/>
        </w:rPr>
      </w:pPr>
      <w:r w:rsidRPr="003B1460">
        <w:rPr>
          <w:b/>
          <w:sz w:val="28"/>
        </w:rPr>
        <w:t xml:space="preserve"> які страждають на рідкісні (</w:t>
      </w:r>
      <w:proofErr w:type="spellStart"/>
      <w:r w:rsidRPr="003B1460">
        <w:rPr>
          <w:b/>
          <w:sz w:val="28"/>
        </w:rPr>
        <w:t>орфанні</w:t>
      </w:r>
      <w:proofErr w:type="spellEnd"/>
      <w:r w:rsidRPr="003B1460">
        <w:rPr>
          <w:b/>
          <w:sz w:val="28"/>
        </w:rPr>
        <w:t>) захворювання, лікарськими засобами та відповідними харчовими продуктами для спеціального дієтичного споживання на 2026 – 2027 роки</w:t>
      </w:r>
      <w:r w:rsidRPr="003B1460">
        <w:rPr>
          <w:sz w:val="28"/>
        </w:rPr>
        <w:t xml:space="preserve"> </w:t>
      </w:r>
    </w:p>
    <w:p w14:paraId="56F7685B" w14:textId="77777777" w:rsidR="00461A60" w:rsidRPr="003B1460" w:rsidRDefault="00461A60" w:rsidP="00C16891">
      <w:pPr>
        <w:spacing w:line="240" w:lineRule="auto"/>
        <w:jc w:val="center"/>
        <w:rPr>
          <w:sz w:val="28"/>
        </w:rPr>
      </w:pPr>
      <w:r w:rsidRPr="003B1460">
        <w:rPr>
          <w:b/>
          <w:sz w:val="32"/>
        </w:rPr>
        <w:t xml:space="preserve"> </w:t>
      </w:r>
    </w:p>
    <w:p w14:paraId="6C6B5D19" w14:textId="77777777" w:rsidR="00461A60" w:rsidRPr="003B1460" w:rsidRDefault="00461A60" w:rsidP="00C16891">
      <w:pPr>
        <w:spacing w:line="240" w:lineRule="auto"/>
        <w:jc w:val="right"/>
        <w:rPr>
          <w:sz w:val="28"/>
        </w:rPr>
      </w:pPr>
      <w:proofErr w:type="spellStart"/>
      <w:r w:rsidRPr="003B1460">
        <w:rPr>
          <w:sz w:val="28"/>
        </w:rPr>
        <w:t>тис.грн</w:t>
      </w:r>
      <w:proofErr w:type="spellEnd"/>
    </w:p>
    <w:tbl>
      <w:tblPr>
        <w:tblW w:w="1502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0"/>
        <w:gridCol w:w="3394"/>
        <w:gridCol w:w="3525"/>
        <w:gridCol w:w="3566"/>
      </w:tblGrid>
      <w:tr w:rsidR="00461A60" w:rsidRPr="003B1460" w14:paraId="37991E6B" w14:textId="77777777" w:rsidTr="00430399">
        <w:trPr>
          <w:trHeight w:val="653"/>
        </w:trPr>
        <w:tc>
          <w:tcPr>
            <w:tcW w:w="4540" w:type="dxa"/>
            <w:vMerge w:val="restart"/>
            <w:vAlign w:val="center"/>
          </w:tcPr>
          <w:p w14:paraId="6DDF7374" w14:textId="77777777" w:rsidR="00461A60" w:rsidRPr="003B1460" w:rsidRDefault="00461A60" w:rsidP="00C16891">
            <w:pPr>
              <w:spacing w:line="240" w:lineRule="auto"/>
              <w:jc w:val="center"/>
              <w:rPr>
                <w:sz w:val="28"/>
              </w:rPr>
            </w:pPr>
            <w:r w:rsidRPr="003B1460">
              <w:rPr>
                <w:b/>
                <w:sz w:val="28"/>
              </w:rPr>
              <w:t>Обсяг коштів, які пропонується залучити на виконання Програми</w:t>
            </w:r>
          </w:p>
        </w:tc>
        <w:tc>
          <w:tcPr>
            <w:tcW w:w="6919" w:type="dxa"/>
            <w:gridSpan w:val="2"/>
            <w:vAlign w:val="center"/>
          </w:tcPr>
          <w:p w14:paraId="305D0E38" w14:textId="77777777" w:rsidR="00461A60" w:rsidRPr="003B1460" w:rsidRDefault="00461A60" w:rsidP="00C16891">
            <w:pPr>
              <w:spacing w:line="240" w:lineRule="auto"/>
              <w:jc w:val="center"/>
              <w:rPr>
                <w:sz w:val="28"/>
              </w:rPr>
            </w:pPr>
            <w:r w:rsidRPr="003B1460">
              <w:rPr>
                <w:b/>
                <w:sz w:val="28"/>
              </w:rPr>
              <w:t>З них за роками:</w:t>
            </w:r>
          </w:p>
        </w:tc>
        <w:tc>
          <w:tcPr>
            <w:tcW w:w="3566" w:type="dxa"/>
            <w:vAlign w:val="center"/>
          </w:tcPr>
          <w:p w14:paraId="7CF75587" w14:textId="77777777" w:rsidR="00461A60" w:rsidRPr="003B1460" w:rsidRDefault="00461A60" w:rsidP="00C16891">
            <w:pPr>
              <w:spacing w:line="240" w:lineRule="auto"/>
              <w:jc w:val="center"/>
              <w:rPr>
                <w:sz w:val="28"/>
              </w:rPr>
            </w:pPr>
            <w:r w:rsidRPr="003B1460">
              <w:rPr>
                <w:b/>
                <w:sz w:val="28"/>
              </w:rPr>
              <w:t>Усього витрат на виконання Програми</w:t>
            </w:r>
          </w:p>
        </w:tc>
      </w:tr>
      <w:tr w:rsidR="00461A60" w:rsidRPr="003B1460" w14:paraId="2C40F39E" w14:textId="77777777" w:rsidTr="00430399">
        <w:trPr>
          <w:trHeight w:val="705"/>
        </w:trPr>
        <w:tc>
          <w:tcPr>
            <w:tcW w:w="4540" w:type="dxa"/>
            <w:vMerge/>
          </w:tcPr>
          <w:p w14:paraId="0830CAD0" w14:textId="77777777" w:rsidR="00461A60" w:rsidRPr="003B1460" w:rsidRDefault="00461A60" w:rsidP="00C16891">
            <w:pPr>
              <w:spacing w:line="240" w:lineRule="auto"/>
              <w:rPr>
                <w:sz w:val="28"/>
              </w:rPr>
            </w:pPr>
          </w:p>
        </w:tc>
        <w:tc>
          <w:tcPr>
            <w:tcW w:w="3394" w:type="dxa"/>
            <w:vAlign w:val="center"/>
          </w:tcPr>
          <w:p w14:paraId="52E13C2B" w14:textId="77777777" w:rsidR="00461A60" w:rsidRPr="003B1460" w:rsidRDefault="00461A60" w:rsidP="00C16891">
            <w:pPr>
              <w:spacing w:line="240" w:lineRule="auto"/>
              <w:jc w:val="center"/>
              <w:rPr>
                <w:sz w:val="28"/>
              </w:rPr>
            </w:pPr>
            <w:r w:rsidRPr="003B1460">
              <w:rPr>
                <w:b/>
                <w:sz w:val="28"/>
              </w:rPr>
              <w:t>2026 рік</w:t>
            </w:r>
          </w:p>
        </w:tc>
        <w:tc>
          <w:tcPr>
            <w:tcW w:w="3525" w:type="dxa"/>
            <w:vAlign w:val="center"/>
          </w:tcPr>
          <w:p w14:paraId="25CE16B6" w14:textId="77777777" w:rsidR="00461A60" w:rsidRPr="003B1460" w:rsidRDefault="00461A60" w:rsidP="00C16891">
            <w:pPr>
              <w:spacing w:line="240" w:lineRule="auto"/>
              <w:jc w:val="center"/>
              <w:rPr>
                <w:sz w:val="28"/>
              </w:rPr>
            </w:pPr>
            <w:r w:rsidRPr="003B1460">
              <w:rPr>
                <w:b/>
                <w:sz w:val="28"/>
              </w:rPr>
              <w:t>2027 рік</w:t>
            </w:r>
          </w:p>
        </w:tc>
        <w:tc>
          <w:tcPr>
            <w:tcW w:w="3566" w:type="dxa"/>
            <w:vAlign w:val="center"/>
          </w:tcPr>
          <w:p w14:paraId="6E4A1CD4" w14:textId="77777777" w:rsidR="00461A60" w:rsidRPr="003B1460" w:rsidRDefault="00461A60" w:rsidP="00C16891">
            <w:pPr>
              <w:spacing w:line="240" w:lineRule="auto"/>
              <w:rPr>
                <w:sz w:val="28"/>
              </w:rPr>
            </w:pPr>
          </w:p>
        </w:tc>
      </w:tr>
      <w:tr w:rsidR="00461A60" w:rsidRPr="003B1460" w14:paraId="5F3E5E90" w14:textId="77777777" w:rsidTr="00430399">
        <w:trPr>
          <w:trHeight w:val="681"/>
        </w:trPr>
        <w:tc>
          <w:tcPr>
            <w:tcW w:w="4540" w:type="dxa"/>
            <w:vAlign w:val="center"/>
          </w:tcPr>
          <w:p w14:paraId="52CEBEF4" w14:textId="77777777" w:rsidR="00461A60" w:rsidRPr="003B1460" w:rsidRDefault="00461A60" w:rsidP="00C16891">
            <w:pPr>
              <w:spacing w:line="240" w:lineRule="auto"/>
              <w:rPr>
                <w:sz w:val="28"/>
              </w:rPr>
            </w:pPr>
            <w:r w:rsidRPr="003B1460">
              <w:rPr>
                <w:sz w:val="28"/>
              </w:rPr>
              <w:t>Обсяг ресурсів, усього</w:t>
            </w:r>
          </w:p>
          <w:p w14:paraId="60806636" w14:textId="77777777" w:rsidR="00461A60" w:rsidRPr="003B1460" w:rsidRDefault="00461A60" w:rsidP="00C16891">
            <w:pPr>
              <w:spacing w:line="240" w:lineRule="auto"/>
              <w:rPr>
                <w:sz w:val="28"/>
              </w:rPr>
            </w:pPr>
            <w:r w:rsidRPr="003B1460">
              <w:rPr>
                <w:sz w:val="28"/>
              </w:rPr>
              <w:t xml:space="preserve"> у тому числі:</w:t>
            </w:r>
          </w:p>
        </w:tc>
        <w:tc>
          <w:tcPr>
            <w:tcW w:w="3394" w:type="dxa"/>
            <w:vAlign w:val="center"/>
          </w:tcPr>
          <w:p w14:paraId="38DE2213" w14:textId="77777777" w:rsidR="00461A60" w:rsidRPr="003B1460" w:rsidRDefault="00461A60" w:rsidP="00C16891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3B1460">
              <w:rPr>
                <w:sz w:val="28"/>
                <w:szCs w:val="28"/>
              </w:rPr>
              <w:t>100</w:t>
            </w:r>
          </w:p>
        </w:tc>
        <w:tc>
          <w:tcPr>
            <w:tcW w:w="3525" w:type="dxa"/>
            <w:vAlign w:val="center"/>
          </w:tcPr>
          <w:p w14:paraId="3CCE016D" w14:textId="77777777" w:rsidR="00461A60" w:rsidRPr="003B1460" w:rsidRDefault="00461A60" w:rsidP="00C16891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3B1460">
              <w:rPr>
                <w:sz w:val="28"/>
                <w:szCs w:val="28"/>
              </w:rPr>
              <w:t>100</w:t>
            </w:r>
          </w:p>
        </w:tc>
        <w:tc>
          <w:tcPr>
            <w:tcW w:w="3566" w:type="dxa"/>
            <w:vAlign w:val="center"/>
          </w:tcPr>
          <w:p w14:paraId="46199A39" w14:textId="77777777" w:rsidR="00461A60" w:rsidRPr="003B1460" w:rsidRDefault="00461A60" w:rsidP="00C16891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3B1460">
              <w:rPr>
                <w:sz w:val="28"/>
                <w:szCs w:val="28"/>
              </w:rPr>
              <w:t>200,00</w:t>
            </w:r>
          </w:p>
        </w:tc>
      </w:tr>
      <w:tr w:rsidR="00461A60" w:rsidRPr="003B1460" w14:paraId="7386DB9A" w14:textId="77777777" w:rsidTr="00430399">
        <w:trPr>
          <w:trHeight w:val="735"/>
        </w:trPr>
        <w:tc>
          <w:tcPr>
            <w:tcW w:w="4540" w:type="dxa"/>
            <w:vAlign w:val="center"/>
          </w:tcPr>
          <w:p w14:paraId="76BE9CB1" w14:textId="77777777" w:rsidR="00461A60" w:rsidRPr="003B1460" w:rsidRDefault="00461A60" w:rsidP="00C16891">
            <w:pPr>
              <w:spacing w:line="240" w:lineRule="auto"/>
              <w:rPr>
                <w:sz w:val="28"/>
              </w:rPr>
            </w:pPr>
            <w:r w:rsidRPr="003B1460">
              <w:rPr>
                <w:sz w:val="28"/>
              </w:rPr>
              <w:t>Міський бюджет</w:t>
            </w:r>
          </w:p>
        </w:tc>
        <w:tc>
          <w:tcPr>
            <w:tcW w:w="3394" w:type="dxa"/>
            <w:vAlign w:val="center"/>
          </w:tcPr>
          <w:p w14:paraId="098E1F1A" w14:textId="77777777" w:rsidR="00461A60" w:rsidRPr="003B1460" w:rsidRDefault="00461A60" w:rsidP="00C16891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3B1460">
              <w:rPr>
                <w:sz w:val="28"/>
                <w:szCs w:val="28"/>
              </w:rPr>
              <w:t>100</w:t>
            </w:r>
          </w:p>
        </w:tc>
        <w:tc>
          <w:tcPr>
            <w:tcW w:w="3525" w:type="dxa"/>
            <w:vAlign w:val="center"/>
          </w:tcPr>
          <w:p w14:paraId="2C4BD208" w14:textId="77777777" w:rsidR="00461A60" w:rsidRPr="003B1460" w:rsidRDefault="00461A60" w:rsidP="00C16891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3B1460">
              <w:rPr>
                <w:sz w:val="28"/>
                <w:szCs w:val="28"/>
              </w:rPr>
              <w:t>100</w:t>
            </w:r>
          </w:p>
        </w:tc>
        <w:tc>
          <w:tcPr>
            <w:tcW w:w="3566" w:type="dxa"/>
            <w:vAlign w:val="center"/>
          </w:tcPr>
          <w:p w14:paraId="73C54F79" w14:textId="77777777" w:rsidR="00461A60" w:rsidRPr="003B1460" w:rsidRDefault="00461A60" w:rsidP="00C16891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3B1460">
              <w:rPr>
                <w:sz w:val="28"/>
                <w:szCs w:val="28"/>
              </w:rPr>
              <w:t>200,00</w:t>
            </w:r>
          </w:p>
        </w:tc>
      </w:tr>
    </w:tbl>
    <w:p w14:paraId="17A38C86" w14:textId="77777777" w:rsidR="00461A60" w:rsidRPr="003B1460" w:rsidRDefault="00461A60" w:rsidP="00C16891">
      <w:pPr>
        <w:spacing w:line="240" w:lineRule="auto"/>
        <w:rPr>
          <w:sz w:val="28"/>
        </w:rPr>
      </w:pPr>
    </w:p>
    <w:p w14:paraId="1582317B" w14:textId="77777777" w:rsidR="00461A60" w:rsidRPr="003B1460" w:rsidRDefault="00461A60" w:rsidP="00C16891">
      <w:pPr>
        <w:spacing w:line="240" w:lineRule="auto"/>
        <w:jc w:val="both"/>
        <w:rPr>
          <w:b/>
          <w:color w:val="000000"/>
          <w:sz w:val="28"/>
          <w:szCs w:val="28"/>
        </w:rPr>
      </w:pPr>
    </w:p>
    <w:p w14:paraId="1A255BFA" w14:textId="16715979" w:rsidR="00EE6C94" w:rsidRPr="003B1460" w:rsidRDefault="00934339" w:rsidP="00C16891">
      <w:pPr>
        <w:spacing w:line="240" w:lineRule="auto"/>
        <w:ind w:firstLine="708"/>
        <w:jc w:val="both"/>
        <w:rPr>
          <w:color w:val="000000"/>
          <w:sz w:val="28"/>
          <w:szCs w:val="28"/>
        </w:rPr>
      </w:pPr>
      <w:proofErr w:type="spellStart"/>
      <w:r w:rsidRPr="003B1460">
        <w:rPr>
          <w:color w:val="000000"/>
          <w:sz w:val="28"/>
          <w:szCs w:val="28"/>
        </w:rPr>
        <w:t>В.п</w:t>
      </w:r>
      <w:proofErr w:type="spellEnd"/>
      <w:r w:rsidRPr="003B1460">
        <w:rPr>
          <w:color w:val="000000"/>
          <w:sz w:val="28"/>
          <w:szCs w:val="28"/>
        </w:rPr>
        <w:t>. міського голови,</w:t>
      </w:r>
    </w:p>
    <w:p w14:paraId="2646553F" w14:textId="77777777" w:rsidR="00EE6C94" w:rsidRPr="003B1460" w:rsidRDefault="00934339" w:rsidP="00C16891">
      <w:pPr>
        <w:spacing w:line="240" w:lineRule="auto"/>
        <w:ind w:firstLine="708"/>
        <w:jc w:val="both"/>
        <w:rPr>
          <w:color w:val="000000"/>
          <w:sz w:val="28"/>
          <w:szCs w:val="28"/>
        </w:rPr>
      </w:pPr>
      <w:r w:rsidRPr="003B1460">
        <w:rPr>
          <w:color w:val="000000"/>
          <w:sz w:val="28"/>
          <w:szCs w:val="28"/>
        </w:rPr>
        <w:t>секретар ради та виконкому                                                                                                                          Євген МОЛНАР</w:t>
      </w:r>
    </w:p>
    <w:p w14:paraId="387800F9" w14:textId="77777777" w:rsidR="0036392D" w:rsidRPr="003B1460" w:rsidRDefault="0036392D" w:rsidP="00C16891">
      <w:pPr>
        <w:spacing w:line="240" w:lineRule="auto"/>
        <w:ind w:firstLine="708"/>
        <w:jc w:val="both"/>
        <w:rPr>
          <w:color w:val="000000"/>
          <w:sz w:val="28"/>
          <w:szCs w:val="28"/>
        </w:rPr>
      </w:pPr>
    </w:p>
    <w:p w14:paraId="6ECA2307" w14:textId="5BAEA3D3" w:rsidR="0036392D" w:rsidRPr="003B1460" w:rsidRDefault="0036392D" w:rsidP="00C16891">
      <w:pPr>
        <w:spacing w:line="240" w:lineRule="auto"/>
        <w:rPr>
          <w:color w:val="000000"/>
          <w:sz w:val="28"/>
          <w:szCs w:val="28"/>
        </w:rPr>
      </w:pPr>
      <w:r w:rsidRPr="003B1460">
        <w:rPr>
          <w:color w:val="000000"/>
          <w:sz w:val="28"/>
          <w:szCs w:val="28"/>
        </w:rPr>
        <w:br w:type="page"/>
      </w:r>
    </w:p>
    <w:p w14:paraId="05C9E3A5" w14:textId="77777777" w:rsidR="0036392D" w:rsidRPr="003B1460" w:rsidRDefault="0036392D" w:rsidP="00C16891">
      <w:pPr>
        <w:spacing w:line="240" w:lineRule="auto"/>
        <w:ind w:firstLine="708"/>
        <w:jc w:val="both"/>
        <w:rPr>
          <w:sz w:val="24"/>
          <w:szCs w:val="24"/>
        </w:rPr>
        <w:sectPr w:rsidR="0036392D" w:rsidRPr="003B1460">
          <w:headerReference w:type="default" r:id="rId10"/>
          <w:pgSz w:w="16838" w:h="11906" w:orient="landscape"/>
          <w:pgMar w:top="1702" w:right="850" w:bottom="850" w:left="850" w:header="708" w:footer="708" w:gutter="0"/>
          <w:cols w:space="708"/>
          <w:docGrid w:linePitch="360"/>
        </w:sectPr>
      </w:pPr>
    </w:p>
    <w:p w14:paraId="55CFBF3A" w14:textId="653A39D7" w:rsidR="0036392D" w:rsidRPr="003B1460" w:rsidRDefault="0036392D" w:rsidP="00C16891">
      <w:pPr>
        <w:spacing w:line="240" w:lineRule="auto"/>
        <w:ind w:firstLine="708"/>
        <w:jc w:val="both"/>
        <w:rPr>
          <w:sz w:val="24"/>
          <w:szCs w:val="24"/>
        </w:rPr>
      </w:pPr>
    </w:p>
    <w:sectPr w:rsidR="0036392D" w:rsidRPr="003B1460" w:rsidSect="0036392D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71A9D9" w14:textId="77777777" w:rsidR="008B203A" w:rsidRDefault="008B203A">
      <w:pPr>
        <w:spacing w:line="240" w:lineRule="auto"/>
      </w:pPr>
      <w:r>
        <w:separator/>
      </w:r>
    </w:p>
  </w:endnote>
  <w:endnote w:type="continuationSeparator" w:id="0">
    <w:p w14:paraId="2733A82D" w14:textId="77777777" w:rsidR="008B203A" w:rsidRDefault="008B20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530646" w14:textId="77777777" w:rsidR="008B203A" w:rsidRDefault="008B203A">
      <w:r>
        <w:separator/>
      </w:r>
    </w:p>
  </w:footnote>
  <w:footnote w:type="continuationSeparator" w:id="0">
    <w:p w14:paraId="1A88BB39" w14:textId="77777777" w:rsidR="008B203A" w:rsidRDefault="008B20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C83DCA" w14:textId="77777777" w:rsidR="00EE6C94" w:rsidRDefault="00EE6C9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C275AC"/>
    <w:multiLevelType w:val="multilevel"/>
    <w:tmpl w:val="23C275A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8C5C11"/>
    <w:multiLevelType w:val="multilevel"/>
    <w:tmpl w:val="3A8C5C11"/>
    <w:lvl w:ilvl="0">
      <w:start w:val="1"/>
      <w:numFmt w:val="decimal"/>
      <w:lvlText w:val="%1."/>
      <w:lvlJc w:val="left"/>
      <w:pPr>
        <w:ind w:left="480" w:hanging="360"/>
      </w:pPr>
    </w:lvl>
    <w:lvl w:ilvl="1">
      <w:start w:val="1"/>
      <w:numFmt w:val="lowerLetter"/>
      <w:lvlText w:val="%2."/>
      <w:lvlJc w:val="left"/>
      <w:pPr>
        <w:tabs>
          <w:tab w:val="left" w:pos="1276"/>
        </w:tabs>
        <w:ind w:left="1276" w:hanging="360"/>
      </w:pPr>
    </w:lvl>
    <w:lvl w:ilvl="2">
      <w:start w:val="1"/>
      <w:numFmt w:val="lowerRoman"/>
      <w:lvlText w:val="%3."/>
      <w:lvlJc w:val="right"/>
      <w:pPr>
        <w:tabs>
          <w:tab w:val="left" w:pos="1996"/>
        </w:tabs>
        <w:ind w:left="1996" w:hanging="180"/>
      </w:pPr>
    </w:lvl>
    <w:lvl w:ilvl="3">
      <w:start w:val="1"/>
      <w:numFmt w:val="decimal"/>
      <w:lvlText w:val="%4."/>
      <w:lvlJc w:val="left"/>
      <w:pPr>
        <w:tabs>
          <w:tab w:val="left" w:pos="2716"/>
        </w:tabs>
        <w:ind w:left="2716" w:hanging="360"/>
      </w:pPr>
    </w:lvl>
    <w:lvl w:ilvl="4">
      <w:start w:val="1"/>
      <w:numFmt w:val="lowerLetter"/>
      <w:lvlText w:val="%5."/>
      <w:lvlJc w:val="left"/>
      <w:pPr>
        <w:tabs>
          <w:tab w:val="left" w:pos="3436"/>
        </w:tabs>
        <w:ind w:left="3436" w:hanging="360"/>
      </w:pPr>
    </w:lvl>
    <w:lvl w:ilvl="5">
      <w:start w:val="1"/>
      <w:numFmt w:val="lowerRoman"/>
      <w:lvlText w:val="%6."/>
      <w:lvlJc w:val="right"/>
      <w:pPr>
        <w:tabs>
          <w:tab w:val="left" w:pos="4156"/>
        </w:tabs>
        <w:ind w:left="4156" w:hanging="180"/>
      </w:pPr>
    </w:lvl>
    <w:lvl w:ilvl="6">
      <w:start w:val="1"/>
      <w:numFmt w:val="decimal"/>
      <w:lvlText w:val="%7."/>
      <w:lvlJc w:val="left"/>
      <w:pPr>
        <w:tabs>
          <w:tab w:val="left" w:pos="4876"/>
        </w:tabs>
        <w:ind w:left="4876" w:hanging="360"/>
      </w:pPr>
    </w:lvl>
    <w:lvl w:ilvl="7">
      <w:start w:val="1"/>
      <w:numFmt w:val="lowerLetter"/>
      <w:lvlText w:val="%8."/>
      <w:lvlJc w:val="left"/>
      <w:pPr>
        <w:tabs>
          <w:tab w:val="left" w:pos="5596"/>
        </w:tabs>
        <w:ind w:left="5596" w:hanging="360"/>
      </w:pPr>
    </w:lvl>
    <w:lvl w:ilvl="8">
      <w:start w:val="1"/>
      <w:numFmt w:val="lowerRoman"/>
      <w:lvlText w:val="%9."/>
      <w:lvlJc w:val="right"/>
      <w:pPr>
        <w:tabs>
          <w:tab w:val="left" w:pos="6316"/>
        </w:tabs>
        <w:ind w:left="6316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defaultTabStop w:val="708"/>
  <w:hyphenationZone w:val="425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E72D8C"/>
    <w:rsid w:val="000B37A4"/>
    <w:rsid w:val="001251B0"/>
    <w:rsid w:val="00186DD4"/>
    <w:rsid w:val="00201C15"/>
    <w:rsid w:val="00212B94"/>
    <w:rsid w:val="002F08D1"/>
    <w:rsid w:val="002F4F4E"/>
    <w:rsid w:val="0036392D"/>
    <w:rsid w:val="003B1460"/>
    <w:rsid w:val="00461A60"/>
    <w:rsid w:val="0049270E"/>
    <w:rsid w:val="004B7101"/>
    <w:rsid w:val="004D3953"/>
    <w:rsid w:val="00557E57"/>
    <w:rsid w:val="0057392F"/>
    <w:rsid w:val="005A4A4E"/>
    <w:rsid w:val="005C20BC"/>
    <w:rsid w:val="007815BD"/>
    <w:rsid w:val="007A5B9A"/>
    <w:rsid w:val="007E605D"/>
    <w:rsid w:val="00844E1A"/>
    <w:rsid w:val="008A5155"/>
    <w:rsid w:val="008B203A"/>
    <w:rsid w:val="008B2DA7"/>
    <w:rsid w:val="008D39F5"/>
    <w:rsid w:val="00934339"/>
    <w:rsid w:val="0099334E"/>
    <w:rsid w:val="00BE73A3"/>
    <w:rsid w:val="00C16891"/>
    <w:rsid w:val="00C212D4"/>
    <w:rsid w:val="00CE474D"/>
    <w:rsid w:val="00D079A2"/>
    <w:rsid w:val="00D54A5D"/>
    <w:rsid w:val="00D93888"/>
    <w:rsid w:val="00DA360A"/>
    <w:rsid w:val="00E43313"/>
    <w:rsid w:val="00EE6C94"/>
    <w:rsid w:val="7BD521E8"/>
    <w:rsid w:val="7BE72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1881F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61A60"/>
    <w:pPr>
      <w:spacing w:line="259" w:lineRule="auto"/>
    </w:pPr>
    <w:rPr>
      <w:rFonts w:eastAsia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Pr>
      <w:b/>
      <w:bCs/>
    </w:rPr>
  </w:style>
  <w:style w:type="paragraph" w:styleId="a4">
    <w:name w:val="header"/>
    <w:basedOn w:val="a"/>
    <w:uiPriority w:val="99"/>
    <w:unhideWhenUsed/>
    <w:pPr>
      <w:tabs>
        <w:tab w:val="center" w:pos="4819"/>
        <w:tab w:val="right" w:pos="9639"/>
      </w:tabs>
    </w:pPr>
  </w:style>
  <w:style w:type="paragraph" w:styleId="a5">
    <w:name w:val="Title"/>
    <w:basedOn w:val="a"/>
    <w:qFormat/>
    <w:pPr>
      <w:spacing w:line="240" w:lineRule="auto"/>
      <w:jc w:val="center"/>
    </w:pPr>
    <w:rPr>
      <w:sz w:val="28"/>
      <w:szCs w:val="24"/>
    </w:rPr>
  </w:style>
  <w:style w:type="paragraph" w:styleId="a6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table" w:styleId="a7">
    <w:name w:val="Table Grid"/>
    <w:basedOn w:val="a1"/>
    <w:uiPriority w:val="5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"/>
    <w:link w:val="a9"/>
    <w:rsid w:val="007A5B9A"/>
    <w:pPr>
      <w:tabs>
        <w:tab w:val="center" w:pos="4819"/>
        <w:tab w:val="right" w:pos="9639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rsid w:val="007A5B9A"/>
    <w:rPr>
      <w:rFonts w:eastAsia="Calibri"/>
    </w:rPr>
  </w:style>
  <w:style w:type="paragraph" w:styleId="aa">
    <w:name w:val="Balloon Text"/>
    <w:basedOn w:val="a"/>
    <w:link w:val="ab"/>
    <w:rsid w:val="002F4F4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2F4F4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61A60"/>
    <w:pPr>
      <w:spacing w:line="259" w:lineRule="auto"/>
    </w:pPr>
    <w:rPr>
      <w:rFonts w:eastAsia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Pr>
      <w:b/>
      <w:bCs/>
    </w:rPr>
  </w:style>
  <w:style w:type="paragraph" w:styleId="a4">
    <w:name w:val="header"/>
    <w:basedOn w:val="a"/>
    <w:uiPriority w:val="99"/>
    <w:unhideWhenUsed/>
    <w:pPr>
      <w:tabs>
        <w:tab w:val="center" w:pos="4819"/>
        <w:tab w:val="right" w:pos="9639"/>
      </w:tabs>
    </w:pPr>
  </w:style>
  <w:style w:type="paragraph" w:styleId="a5">
    <w:name w:val="Title"/>
    <w:basedOn w:val="a"/>
    <w:qFormat/>
    <w:pPr>
      <w:spacing w:line="240" w:lineRule="auto"/>
      <w:jc w:val="center"/>
    </w:pPr>
    <w:rPr>
      <w:sz w:val="28"/>
      <w:szCs w:val="24"/>
    </w:rPr>
  </w:style>
  <w:style w:type="paragraph" w:styleId="a6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table" w:styleId="a7">
    <w:name w:val="Table Grid"/>
    <w:basedOn w:val="a1"/>
    <w:uiPriority w:val="5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"/>
    <w:link w:val="a9"/>
    <w:rsid w:val="007A5B9A"/>
    <w:pPr>
      <w:tabs>
        <w:tab w:val="center" w:pos="4819"/>
        <w:tab w:val="right" w:pos="9639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rsid w:val="007A5B9A"/>
    <w:rPr>
      <w:rFonts w:eastAsia="Calibri"/>
    </w:rPr>
  </w:style>
  <w:style w:type="paragraph" w:styleId="aa">
    <w:name w:val="Balloon Text"/>
    <w:basedOn w:val="a"/>
    <w:link w:val="ab"/>
    <w:rsid w:val="002F4F4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2F4F4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4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8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vse-pro-geny.com/ua_diseases_type_Zaxvoruvanna-scheplenni-z-X-chromosomoy.html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12</Pages>
  <Words>15242</Words>
  <Characters>8688</Characters>
  <Application>Microsoft Office Word</Application>
  <DocSecurity>0</DocSecurity>
  <Lines>72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КНП Рахівська РЛ Рахівська районна рада</dc:creator>
  <cp:lastModifiedBy>user</cp:lastModifiedBy>
  <cp:revision>21</cp:revision>
  <cp:lastPrinted>2025-12-29T14:15:00Z</cp:lastPrinted>
  <dcterms:created xsi:type="dcterms:W3CDTF">2025-12-18T06:37:00Z</dcterms:created>
  <dcterms:modified xsi:type="dcterms:W3CDTF">2025-12-29T14:16:00Z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FE9BEE1D72C24E10803AE5A53DFB365C_11</vt:lpwstr>
  </property>
</Properties>
</file>